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625F5FEC" w:rsidR="001D7298" w:rsidRPr="001D7298" w:rsidRDefault="001D7298" w:rsidP="001D7298">
      <w:pPr>
        <w:ind w:left="270"/>
        <w:rPr>
          <w:sz w:val="24"/>
          <w:szCs w:val="24"/>
        </w:rPr>
      </w:pPr>
      <w:r>
        <w:rPr>
          <w:sz w:val="24"/>
          <w:szCs w:val="24"/>
        </w:rPr>
        <w:t xml:space="preserve">KOSTENLOSES FLUKE-MESSGERÄT bei einem Einkaufswert von mindestens </w:t>
      </w:r>
      <w:r w:rsidR="00D31BE4">
        <w:rPr>
          <w:sz w:val="24"/>
          <w:szCs w:val="24"/>
        </w:rPr>
        <w:t>CHF 110</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So erhalten Sie das kostenlose Messgerät von Fluke:</w:t>
      </w:r>
    </w:p>
    <w:p w14:paraId="72229741" w14:textId="3191D09B"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Der Einkaufswert eines unter die Aktion fallenden Fluke-Produkts beim Kauf zwischen dem 01. September 2020 und dem 15. Dezember 2020 muss mindestens </w:t>
      </w:r>
      <w:r w:rsidR="00D31BE4" w:rsidRPr="00D31BE4">
        <w:rPr>
          <w:color w:val="0070C0"/>
          <w:sz w:val="16"/>
          <w:szCs w:val="16"/>
        </w:rPr>
        <w:t>CHF 110</w:t>
      </w:r>
      <w:r w:rsidRPr="00D31BE4">
        <w:rPr>
          <w:color w:val="0070C0"/>
          <w:sz w:val="16"/>
          <w:szCs w:val="16"/>
        </w:rPr>
        <w:t xml:space="preserve"> </w:t>
      </w:r>
      <w:r>
        <w:rPr>
          <w:sz w:val="16"/>
          <w:szCs w:val="16"/>
        </w:rPr>
        <w:t xml:space="preserve">betragen. </w:t>
      </w:r>
    </w:p>
    <w:p w14:paraId="3411996B" w14:textId="02C34E9F"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Einkauf muss bei einem in </w:t>
      </w:r>
      <w:r w:rsidR="00D31BE4" w:rsidRPr="00D31BE4">
        <w:rPr>
          <w:color w:val="0070C0"/>
          <w:sz w:val="16"/>
          <w:szCs w:val="16"/>
        </w:rPr>
        <w:t>der Schweiz</w:t>
      </w:r>
      <w:r w:rsidR="00D42E8C" w:rsidRPr="00D31BE4">
        <w:rPr>
          <w:color w:val="0070C0"/>
          <w:sz w:val="16"/>
          <w:szCs w:val="16"/>
        </w:rPr>
        <w:t xml:space="preserve"> </w:t>
      </w:r>
      <w:r>
        <w:rPr>
          <w:sz w:val="16"/>
          <w:szCs w:val="16"/>
        </w:rPr>
        <w:t xml:space="preserve">ansässigen Fluke-Vertriebspartner erfolgen.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Nachweis des Verkaufs in Form einer einzigen Quittung oder Rechnung ist erforderlich. </w:t>
      </w:r>
      <w:bookmarkStart w:id="0" w:name="_Hlk29220021"/>
      <w:r>
        <w:rPr>
          <w:sz w:val="16"/>
          <w:szCs w:val="16"/>
        </w:rPr>
        <w:t>Lieferscheine, Bestellaufträge oder Bestellbetätigungen werden nicht als Kaufnachweis anerkannt.</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Unter diese Aktion fallen nur Produkte von Fluke IG, Fluke Calibration oder Fluke Networks.</w:t>
      </w:r>
    </w:p>
    <w:p w14:paraId="62D46B31" w14:textId="391A4088" w:rsidR="001D7298" w:rsidRPr="00D42E8C" w:rsidRDefault="001D7298" w:rsidP="001D7298">
      <w:pPr>
        <w:pStyle w:val="ListParagraph"/>
        <w:numPr>
          <w:ilvl w:val="0"/>
          <w:numId w:val="8"/>
        </w:numPr>
        <w:spacing w:after="0" w:line="276" w:lineRule="auto"/>
        <w:jc w:val="both"/>
        <w:rPr>
          <w:rStyle w:val="Hyperlink"/>
          <w:rFonts w:eastAsia="Times New Roman"/>
          <w:color w:val="auto"/>
          <w:sz w:val="16"/>
          <w:szCs w:val="16"/>
          <w:u w:val="none"/>
        </w:rPr>
      </w:pPr>
      <w:r>
        <w:rPr>
          <w:sz w:val="16"/>
          <w:szCs w:val="16"/>
        </w:rPr>
        <w:t>Lösen Sie Ihr Geschenk online ein! Besuchen Sie</w:t>
      </w:r>
      <w:r w:rsidRPr="00D42E8C">
        <w:rPr>
          <w:sz w:val="16"/>
          <w:szCs w:val="16"/>
        </w:rPr>
        <w:t xml:space="preserve">: </w:t>
      </w:r>
      <w:hyperlink r:id="rId9" w:history="1">
        <w:r w:rsidR="00D31BE4" w:rsidRPr="001B1236">
          <w:rPr>
            <w:rStyle w:val="Hyperlink"/>
            <w:sz w:val="16"/>
            <w:szCs w:val="16"/>
          </w:rPr>
          <w:t>www.fluke.ch/freefluke</w:t>
        </w:r>
      </w:hyperlink>
      <w:r w:rsidR="00D42E8C">
        <w:rPr>
          <w:rStyle w:val="Hyperlink"/>
          <w:sz w:val="16"/>
          <w:szCs w:val="16"/>
        </w:rPr>
        <w:t xml:space="preserve"> </w:t>
      </w:r>
    </w:p>
    <w:p w14:paraId="204A8504" w14:textId="77777777" w:rsidR="00D42E8C" w:rsidRDefault="00D42E8C" w:rsidP="00D42E8C">
      <w:pPr>
        <w:pStyle w:val="ListParagraph"/>
        <w:spacing w:after="0" w:line="276" w:lineRule="auto"/>
        <w:ind w:left="630"/>
        <w:jc w:val="both"/>
        <w:rPr>
          <w:rFonts w:eastAsia="Times New Roman"/>
          <w:sz w:val="16"/>
          <w:szCs w:val="16"/>
        </w:rPr>
      </w:pPr>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Sichern Sie sich Ihr neues Fluke-Messgerät! Wir wünschen Ihnen viel Freude damit.</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Allgemeine Geschäftsbedingungen</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Beschreibung der Aktion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4A18E84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Im Rahmen dieser Aktion (“</w:t>
      </w:r>
      <w:r>
        <w:rPr>
          <w:rFonts w:ascii="Times New Roman" w:hAnsi="Times New Roman"/>
          <w:color w:val="000000" w:themeColor="text1"/>
          <w:sz w:val="20"/>
          <w:szCs w:val="20"/>
          <w:u w:val="single"/>
        </w:rPr>
        <w:t>Aktion</w:t>
      </w:r>
      <w:r>
        <w:rPr>
          <w:rFonts w:ascii="Times New Roman" w:hAnsi="Times New Roman"/>
          <w:color w:val="000000" w:themeColor="text1"/>
          <w:sz w:val="20"/>
          <w:szCs w:val="20"/>
        </w:rPr>
        <w:t xml:space="preserve">”), sind teilnahmeberechtigte Kunden, die die in den vorliegenden Allgemeinen Geschäftsbedingungen der Aktion festgelegten Voraussetzungen erfüllen, während des Aktionszeitraums (Definition des Zeitraums siehe Abschnitt 3 unten) zum Erhalt eines bestimmten Fluke-Produkts berechtigt, das vom ursprünglichen Kauf des Kunden abhängt. Siehe hierzu die folgende Beschreibung. Im Rahmen der Aktion sind teilnahmeberechtigte Kunden von Fluke Europe B.V. oder deren angeschlossenen juristischen Körperschaften in </w:t>
      </w:r>
      <w:r w:rsidR="008B10B3" w:rsidRPr="00D42E8C">
        <w:rPr>
          <w:rFonts w:ascii="Times New Roman" w:hAnsi="Times New Roman"/>
          <w:color w:val="0070C0"/>
          <w:sz w:val="20"/>
          <w:szCs w:val="20"/>
        </w:rPr>
        <w:t xml:space="preserve"> </w:t>
      </w:r>
      <w:r w:rsidR="00D31BE4">
        <w:rPr>
          <w:rFonts w:ascii="Times New Roman" w:hAnsi="Times New Roman"/>
          <w:color w:val="0070C0"/>
          <w:sz w:val="20"/>
          <w:szCs w:val="20"/>
        </w:rPr>
        <w:t>der Schweiz</w:t>
      </w:r>
      <w:r w:rsidRPr="00D42E8C">
        <w:rPr>
          <w:rFonts w:ascii="Times New Roman" w:hAnsi="Times New Roman"/>
          <w:color w:val="0070C0"/>
          <w:sz w:val="20"/>
          <w:szCs w:val="20"/>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Sponsor</w:t>
      </w:r>
      <w:r>
        <w:rPr>
          <w:rFonts w:ascii="Times New Roman" w:hAnsi="Times New Roman"/>
          <w:color w:val="000000" w:themeColor="text1"/>
          <w:sz w:val="20"/>
          <w:szCs w:val="20"/>
        </w:rPr>
        <w:t xml:space="preserve">”), die in allen Fällen unter den Marken </w:t>
      </w:r>
      <w:r>
        <w:rPr>
          <w:rFonts w:ascii="Times New Roman" w:hAnsi="Times New Roman"/>
          <w:sz w:val="20"/>
          <w:szCs w:val="20"/>
        </w:rPr>
        <w:t>Fluke IG, Fluke Calibration oder Fluke Networks</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agieren, zum Erhalt </w:t>
      </w:r>
      <w:r>
        <w:rPr>
          <w:rFonts w:ascii="Times New Roman" w:hAnsi="Times New Roman"/>
          <w:sz w:val="20"/>
          <w:szCs w:val="20"/>
        </w:rPr>
        <w:t xml:space="preserve">eines Fluke-Produkts </w:t>
      </w:r>
      <w:r>
        <w:rPr>
          <w:rFonts w:ascii="Times New Roman" w:hAnsi="Times New Roman"/>
          <w:color w:val="000000" w:themeColor="text1"/>
          <w:sz w:val="20"/>
          <w:szCs w:val="20"/>
        </w:rPr>
        <w:t>ihrer Wahl (“</w:t>
      </w:r>
      <w:r>
        <w:rPr>
          <w:rFonts w:ascii="Times New Roman" w:hAnsi="Times New Roman"/>
          <w:color w:val="000000" w:themeColor="text1"/>
          <w:sz w:val="20"/>
          <w:szCs w:val="20"/>
          <w:u w:val="single"/>
        </w:rPr>
        <w:t>Geschenk</w:t>
      </w:r>
      <w:r>
        <w:rPr>
          <w:rFonts w:ascii="Times New Roman" w:hAnsi="Times New Roman"/>
          <w:color w:val="000000" w:themeColor="text1"/>
          <w:sz w:val="20"/>
          <w:szCs w:val="20"/>
        </w:rPr>
        <w:t xml:space="preserve">”) berechtigt, das wie in der folgenden Tabelle angegeben dem Kaufpreis entspricht, nachdem die Kunden </w:t>
      </w:r>
      <w:r>
        <w:rPr>
          <w:rFonts w:ascii="Times New Roman" w:hAnsi="Times New Roman"/>
          <w:sz w:val="20"/>
          <w:szCs w:val="20"/>
        </w:rPr>
        <w:t>Fluke-</w:t>
      </w:r>
      <w:r>
        <w:rPr>
          <w:rFonts w:ascii="Times New Roman" w:hAnsi="Times New Roman"/>
          <w:color w:val="000000" w:themeColor="text1"/>
          <w:sz w:val="20"/>
          <w:szCs w:val="20"/>
        </w:rPr>
        <w:t>Produkte erworben haben.</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Im Sinne dieser Aktion wird der Begriff </w:t>
      </w:r>
      <w:r>
        <w:rPr>
          <w:rFonts w:ascii="Times New Roman" w:hAnsi="Times New Roman"/>
          <w:sz w:val="20"/>
          <w:szCs w:val="20"/>
        </w:rPr>
        <w:t xml:space="preserve">Fluke-Produkte </w:t>
      </w:r>
      <w:r>
        <w:rPr>
          <w:rFonts w:ascii="Times New Roman" w:hAnsi="Times New Roman"/>
          <w:color w:val="000000" w:themeColor="text1"/>
          <w:sz w:val="20"/>
          <w:szCs w:val="20"/>
        </w:rPr>
        <w:t>wie folgt definiert und eingehender beschrieben:</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w:t>
      </w:r>
      <w:r>
        <w:rPr>
          <w:rFonts w:ascii="Times New Roman" w:hAnsi="Times New Roman"/>
          <w:color w:val="000000" w:themeColor="text1"/>
          <w:sz w:val="20"/>
          <w:szCs w:val="20"/>
        </w:rPr>
        <w:t xml:space="preserve"> bedeutet: </w:t>
      </w:r>
    </w:p>
    <w:p w14:paraId="31D5C6FE" w14:textId="576658F8" w:rsidR="000A581A" w:rsidRPr="00D31BE4" w:rsidRDefault="000A581A" w:rsidP="00D31BE4">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IG, siehe die Aufstellung unter </w:t>
      </w:r>
      <w:hyperlink r:id="rId10" w:history="1">
        <w:r w:rsidR="00D31BE4" w:rsidRPr="001B1236">
          <w:rPr>
            <w:rStyle w:val="Hyperlink"/>
            <w:rFonts w:ascii="Times New Roman" w:hAnsi="Times New Roman"/>
            <w:sz w:val="20"/>
            <w:szCs w:val="20"/>
          </w:rPr>
          <w:t>https://www.fluke.com/de-ch/produkte</w:t>
        </w:r>
      </w:hyperlink>
      <w:r w:rsidRPr="00D42E8C">
        <w:rPr>
          <w:rFonts w:ascii="Times New Roman" w:hAnsi="Times New Roman"/>
          <w:color w:val="000000" w:themeColor="text1"/>
          <w:sz w:val="20"/>
          <w:szCs w:val="20"/>
        </w:rPr>
        <w:t>,</w:t>
      </w:r>
      <w:r w:rsidR="00D42E8C">
        <w:rPr>
          <w:rFonts w:ascii="Times New Roman" w:hAnsi="Times New Roman"/>
          <w:color w:val="000000" w:themeColor="text1"/>
          <w:sz w:val="20"/>
          <w:szCs w:val="20"/>
        </w:rPr>
        <w:t xml:space="preserve"> </w:t>
      </w:r>
    </w:p>
    <w:p w14:paraId="4A69148F" w14:textId="2EB0B087"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siehe die Aufstellung unter </w:t>
      </w:r>
      <w:hyperlink r:id="rId11" w:history="1">
        <w:r w:rsidR="00D31BE4" w:rsidRPr="001B1236">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xml:space="preserve"> außer Care-Plans und Kalibrierdienstleistungen</w:t>
      </w:r>
    </w:p>
    <w:p w14:paraId="082D8183" w14:textId="5758CA9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siehe die Aufstellung unter </w:t>
      </w:r>
      <w:hyperlink r:id="rId12" w:history="1">
        <w:r w:rsidR="00D31BE4" w:rsidRPr="001B1236">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Insbesondere sind hiervon alle anderen Fluke-Produkte ausgenommen, darunter von Fluke Biomedical, Beha-Amprobe, Pomona, Comark, eMaint-Software und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Teilnahmeberechtigung und Aktionszeitraum</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650E58AC"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Um an dieser Aktion teilnehmen zu können, muss ein Kunde in </w:t>
      </w:r>
      <w:r w:rsidR="00D31BE4" w:rsidRPr="00D31BE4">
        <w:rPr>
          <w:rFonts w:ascii="Times New Roman" w:hAnsi="Times New Roman"/>
          <w:color w:val="0070C0"/>
          <w:sz w:val="20"/>
          <w:szCs w:val="20"/>
        </w:rPr>
        <w:t>der Schweiz</w:t>
      </w:r>
      <w:r w:rsidR="00D42E8C" w:rsidRPr="00D31BE4">
        <w:rPr>
          <w:rFonts w:ascii="Times New Roman" w:hAnsi="Times New Roman"/>
          <w:color w:val="0070C0"/>
          <w:sz w:val="20"/>
          <w:szCs w:val="20"/>
        </w:rPr>
        <w:t xml:space="preserve"> </w:t>
      </w:r>
      <w:r>
        <w:rPr>
          <w:rFonts w:ascii="Times New Roman" w:hAnsi="Times New Roman"/>
          <w:color w:val="000000" w:themeColor="text1"/>
          <w:sz w:val="20"/>
          <w:szCs w:val="20"/>
        </w:rPr>
        <w:t xml:space="preserve">ansässig sein. Um an dieser Aktion teilnehmen zu können, muss ein Kunde während des Aktionszeitraums, der um 0:00 Uhr (MEZ) am </w:t>
      </w:r>
      <w:r>
        <w:rPr>
          <w:rFonts w:ascii="Times New Roman" w:hAnsi="Times New Roman"/>
          <w:sz w:val="20"/>
          <w:szCs w:val="20"/>
        </w:rPr>
        <w:t>01. September 2020 beginnt und um 23:59 Uhr (MEZ) am 15. Dezember 2020 endet (“</w:t>
      </w:r>
      <w:r>
        <w:rPr>
          <w:rFonts w:ascii="Times New Roman" w:hAnsi="Times New Roman"/>
          <w:sz w:val="20"/>
          <w:szCs w:val="20"/>
          <w:u w:val="single"/>
        </w:rPr>
        <w:t>Aktionszeitraum</w:t>
      </w:r>
      <w:r>
        <w:rPr>
          <w:rFonts w:ascii="Times New Roman" w:hAnsi="Times New Roman"/>
          <w:sz w:val="20"/>
          <w:szCs w:val="20"/>
        </w:rPr>
        <w:t xml:space="preserve">”) ein oder mehrere Fluke-Produkte im Wert von mindestens </w:t>
      </w:r>
      <w:r w:rsidR="00D31BE4" w:rsidRPr="00D31BE4">
        <w:rPr>
          <w:rFonts w:ascii="Times New Roman" w:hAnsi="Times New Roman"/>
          <w:color w:val="0070C0"/>
          <w:sz w:val="20"/>
          <w:szCs w:val="20"/>
        </w:rPr>
        <w:t xml:space="preserve">CHF 110 </w:t>
      </w:r>
      <w:r>
        <w:rPr>
          <w:rFonts w:ascii="Times New Roman" w:hAnsi="Times New Roman"/>
          <w:sz w:val="20"/>
          <w:szCs w:val="20"/>
        </w:rPr>
        <w:t xml:space="preserve">erwerben.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Auf der Rechnung/Quittung des Kunden muss das Kaufdatum angegeben sein, das innerhalb des Aktionszeitraums liegen muss. Die offizielle Zeitmessung für diese Aktion erfolgt durch einen Computer des Sponsors. Die Aktion gilt nur für Käufe, die innerhalb des Aktionszeitraums vorgenommen werden.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65F7C0C0"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Teilnahmeberechtigten Kunden steht im Rahmen der nachstehend aufgeführten Optionen ein (1) Geschenk ihrer Wahl zu, das dem Preis entspricht, den der Kunde zum Zeitpunkt des Erwerbs der Fluke-Produkte während des Aktionszeitraums bezahlt hat. Sofern auf Rechnungen außer den Fluke-Produkten andere Produkte aufgeführt sind, werden zur Bewertung der unter </w:t>
      </w:r>
      <w:hyperlink r:id="rId13" w:history="1">
        <w:r w:rsidR="00D31BE4" w:rsidRPr="001B1236">
          <w:rPr>
            <w:rStyle w:val="Hyperlink"/>
            <w:rFonts w:ascii="Times New Roman" w:hAnsi="Times New Roman"/>
            <w:sz w:val="20"/>
            <w:szCs w:val="20"/>
          </w:rPr>
          <w:t>www.fluke.ch/freefluke</w:t>
        </w:r>
      </w:hyperlink>
      <w:r w:rsidR="00D31BE4">
        <w:rPr>
          <w:rFonts w:ascii="Times New Roman" w:hAnsi="Times New Roman"/>
          <w:sz w:val="20"/>
          <w:szCs w:val="20"/>
        </w:rPr>
        <w:t xml:space="preserve"> </w:t>
      </w:r>
      <w:r>
        <w:rPr>
          <w:rFonts w:ascii="Times New Roman" w:hAnsi="Times New Roman"/>
          <w:color w:val="000000" w:themeColor="text1"/>
          <w:sz w:val="20"/>
          <w:szCs w:val="20"/>
        </w:rPr>
        <w:t xml:space="preserve">angegebenen Geschenkkategorien nur die Beträge berücksichtigt, die zu den Fluke-Produkten auf diesen Rechnungen gehören.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zur Teilnahme an der Aktion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Um das Geschenk erhalten zu können, müssen alle teilnahmeberechtigten Kunden den nachstehend aufgeführten Ablauf einhalten: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36672C6A"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Die Kunden müssen ihren Anspruch über das Online-Registrierungsformular der Aktion unter </w:t>
      </w:r>
      <w:hyperlink r:id="rId14" w:history="1">
        <w:r w:rsidR="00D31BE4" w:rsidRPr="001B1236">
          <w:rPr>
            <w:rStyle w:val="Hyperlink"/>
            <w:rFonts w:ascii="Times New Roman" w:hAnsi="Times New Roman"/>
            <w:sz w:val="20"/>
            <w:szCs w:val="20"/>
          </w:rPr>
          <w:t>www.fluke.ch/freefluke</w:t>
        </w:r>
      </w:hyperlink>
      <w:r w:rsidR="00373724">
        <w:rPr>
          <w:rFonts w:ascii="Times New Roman" w:hAnsi="Times New Roman"/>
          <w:color w:val="000000" w:themeColor="text1"/>
          <w:sz w:val="20"/>
          <w:szCs w:val="20"/>
        </w:rPr>
        <w:t xml:space="preserve"> </w:t>
      </w:r>
      <w:r w:rsidRPr="00FE56E7">
        <w:rPr>
          <w:rFonts w:ascii="Times New Roman" w:hAnsi="Times New Roman"/>
          <w:color w:val="000000" w:themeColor="text1"/>
          <w:sz w:val="20"/>
          <w:szCs w:val="20"/>
        </w:rPr>
        <w:t>anmelden.</w:t>
      </w:r>
      <w:r>
        <w:rPr>
          <w:rFonts w:ascii="Times New Roman" w:hAnsi="Times New Roman"/>
          <w:color w:val="000000" w:themeColor="text1"/>
          <w:sz w:val="20"/>
          <w:szCs w:val="20"/>
        </w:rPr>
        <w:t xml:space="preserve">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zum Erhalt des Geschenks wird auch </w:t>
      </w:r>
      <w:r w:rsidRPr="00F41FED">
        <w:rPr>
          <w:rFonts w:ascii="Times New Roman" w:hAnsi="Times New Roman"/>
          <w:color w:val="000000" w:themeColor="text1"/>
          <w:sz w:val="20"/>
          <w:szCs w:val="20"/>
        </w:rPr>
        <w:t xml:space="preserve">die </w:t>
      </w:r>
      <w:r w:rsidR="00D31BE4" w:rsidRPr="00D31BE4">
        <w:rPr>
          <w:rFonts w:ascii="Times New Roman" w:hAnsi="Times New Roman"/>
          <w:color w:val="0070C0"/>
          <w:sz w:val="20"/>
          <w:szCs w:val="20"/>
        </w:rPr>
        <w:t>Schweizerisch</w:t>
      </w:r>
      <w:r w:rsidR="00F41FED" w:rsidRPr="00D31BE4">
        <w:rPr>
          <w:rFonts w:ascii="Times New Roman" w:hAnsi="Times New Roman"/>
          <w:color w:val="0070C0"/>
          <w:sz w:val="20"/>
          <w:szCs w:val="20"/>
        </w:rPr>
        <w:t>e</w:t>
      </w:r>
      <w:r w:rsidRPr="00D31BE4">
        <w:rPr>
          <w:rFonts w:ascii="Times New Roman" w:hAnsi="Times New Roman"/>
          <w:color w:val="0070C0"/>
          <w:sz w:val="20"/>
          <w:szCs w:val="20"/>
        </w:rPr>
        <w:t xml:space="preserve">-Adresse </w:t>
      </w:r>
      <w:r>
        <w:rPr>
          <w:rFonts w:ascii="Times New Roman" w:hAnsi="Times New Roman"/>
          <w:color w:val="000000" w:themeColor="text1"/>
          <w:sz w:val="20"/>
          <w:szCs w:val="20"/>
        </w:rPr>
        <w:t xml:space="preserve">des Kunden benötigt.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müssen anhand des Betrags ihrer Rechnung das Geschenk ihrer Wahl im Online-Registrierungsformular angeben.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können pro Rechnung nur einen (1) Anspruch anmelden. Rechnungen können nicht zusammengefasst oder mehrfach verwendet werden.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Sponsor akzeptiert gültige Ansprüche </w:t>
      </w:r>
      <w:r>
        <w:rPr>
          <w:rFonts w:ascii="Times New Roman" w:hAnsi="Times New Roman"/>
          <w:sz w:val="20"/>
          <w:szCs w:val="20"/>
        </w:rPr>
        <w:t xml:space="preserve">bis zum 15.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Ende der Geltendmachung von Ansprüchen</w:t>
      </w:r>
      <w:r>
        <w:rPr>
          <w:rFonts w:ascii="Times New Roman" w:hAnsi="Times New Roman"/>
          <w:color w:val="000000" w:themeColor="text1"/>
          <w:sz w:val="20"/>
          <w:szCs w:val="20"/>
        </w:rPr>
        <w:t>’). Nach diesem Datum eingereichte Ansprüche werden als ungültig zurückgewiesen.</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überprüft die eingereichten Rechnungskopien, die Geschenkoptionen und die Formulare. Bei Unstimmigkeiten im Formular, beim ausgewählten Geschenk und bei dem durch einen Kunden angegebenen Rechnungsbetrag ist der Sponsor berechtigt, nach eigenem Ermessen diesem Kunden das korrekte Geschenk zu übergeben. Sollte der Sponsor feststellen, dass der Anspruch des Kunden nicht den Allgemeinen Geschäftsbedingungen entspricht oder in anderer Weise unzulässig ist, wird der Kunde darüber informiert.</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Innerhalb von 30 Tagen ab dem </w:t>
      </w:r>
      <w:r>
        <w:rPr>
          <w:rFonts w:ascii="Times New Roman" w:hAnsi="Times New Roman"/>
          <w:sz w:val="20"/>
          <w:szCs w:val="20"/>
        </w:rPr>
        <w:t>Ende der Geltendmachung von Ansprüchen</w:t>
      </w:r>
      <w:r>
        <w:rPr>
          <w:rFonts w:ascii="Times New Roman" w:hAnsi="Times New Roman"/>
          <w:color w:val="000000" w:themeColor="text1"/>
          <w:sz w:val="20"/>
          <w:szCs w:val="20"/>
        </w:rPr>
        <w:t xml:space="preserve"> versendet der Sponsor oder dessen Beauftragter das Geschenk an die durch den Kunden angegebene Adresse.</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Bei Nichterhalt des kostenlosen Geschenks informiert der Kunde den Sponsor zum frühestmöglichen Zeitpunkt, jedoch nicht später als bis zum </w:t>
      </w:r>
      <w:r>
        <w:rPr>
          <w:rFonts w:ascii="Times New Roman" w:hAnsi="Times New Roman"/>
          <w:sz w:val="20"/>
          <w:szCs w:val="20"/>
        </w:rPr>
        <w:t>28. Februar 2021</w:t>
      </w:r>
      <w:r>
        <w:rPr>
          <w:rFonts w:ascii="Times New Roman" w:hAnsi="Times New Roman"/>
          <w:color w:val="000000" w:themeColor="text1"/>
          <w:sz w:val="20"/>
          <w:szCs w:val="20"/>
        </w:rPr>
        <w:t>. Ansprüche aufgrund des Nichterhalts, die nach diesem Datum eingehen, werden ausschließlich im alleinigen Ermessen des Sponsors geregelt.</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Weitere Einschränkungen und Beschränkungen im Zusammenhang mit der Aktion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Allgemeinen Geschäftsbedingungen der Aktion entsprechen, können durch den Sponsor im alleinigen und uneingeschränkten Ermessen zurückgewiesen werden, und der Kunde kann von der Teilnahme an der Aktion ausgeschlossen werden.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Mitarbeiter, Direktoren und Führungskräfte des Sponsors, seiner übergeordneten Unternehmen, Tochtergesellschaften, Niederlassungen, Vertriebshändler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Vertriebshändlern oder konkurrierenden Messgerätherstellern nicht zur Teilnahme an der Aktion berechtigt. Aufgrund geltender Gesetze gilt die-Aktion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Haftungsausschluss</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und jede seiner Muttergesellschaften, Tochtergesellschaften sowie deren Direktoren, Führungskräfte, Berater, Vertriebspartner, Vertreter, Vertreter, Mitarbeiter und Bevollmächtigte (gemeinsam die “</w:t>
      </w:r>
      <w:r>
        <w:rPr>
          <w:rFonts w:ascii="Times New Roman" w:hAnsi="Times New Roman"/>
          <w:color w:val="000000" w:themeColor="text1"/>
          <w:sz w:val="20"/>
          <w:szCs w:val="20"/>
          <w:u w:val="single"/>
        </w:rPr>
        <w:t>freigestellten Parteien</w:t>
      </w:r>
      <w:r>
        <w:rPr>
          <w:rFonts w:ascii="Times New Roman" w:hAnsi="Times New Roman"/>
          <w:color w:val="000000" w:themeColor="text1"/>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 oder typografische Fehler in Materialien, die die Aktion betreffen.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Haftungsfreistellung und Schadloshaltung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(Gleichgültig, ob diese der Kontrolle des Sponsors unterliegen); (b) Diebstahl, unbefugtem Zugriff oder Störung durch Dritte; (c) verspäteten, verloren gegangenen, veränderten, beschädigten oder fehlgeleiteten </w:t>
      </w:r>
      <w:r>
        <w:rPr>
          <w:rFonts w:ascii="Times New Roman" w:hAnsi="Times New Roman"/>
          <w:color w:val="000000" w:themeColor="text1"/>
          <w:sz w:val="20"/>
          <w:szCs w:val="20"/>
        </w:rPr>
        <w:lastRenderedPageBreak/>
        <w:t>Einlösungsanträgen (gleichgültig, ob nach Erhalt durch den Sponsor bzw. unter dessen Kontrolle oder nicht); (d) Schäden aufgrund des Postbetriebs; (e) Änderung des Produktwerts gegenüber dem in den vorliegenden Allgemeinen Geschäftsbedingungen; (f) dem Teilnehmer entstandenen Steuerpflichten oder (g) Verwendung oder unsachgemäße Verwendung der im Rahmen der Aktion angebotenen Produkte.</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Sonstiges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bookmarkStart w:id="1" w:name="_GoBack"/>
      <w:bookmarkEnd w:id="1"/>
    </w:p>
    <w:p w14:paraId="1C97A3F0" w14:textId="237A8584"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Aktion und die vorliegenden Allgemeinen Geschäftsbedingungen unterliegen den Gesetzen </w:t>
      </w:r>
      <w:r w:rsidRPr="00D31BE4">
        <w:rPr>
          <w:rFonts w:ascii="Times New Roman" w:hAnsi="Times New Roman"/>
          <w:color w:val="0070C0"/>
          <w:sz w:val="20"/>
          <w:szCs w:val="20"/>
        </w:rPr>
        <w:t>der</w:t>
      </w:r>
      <w:r>
        <w:rPr>
          <w:rFonts w:ascii="Times New Roman" w:hAnsi="Times New Roman"/>
          <w:color w:val="000000" w:themeColor="text1"/>
          <w:sz w:val="20"/>
          <w:szCs w:val="20"/>
        </w:rPr>
        <w:t xml:space="preserve"> </w:t>
      </w:r>
      <w:r w:rsidR="00D31BE4">
        <w:rPr>
          <w:rFonts w:ascii="Times New Roman" w:hAnsi="Times New Roman"/>
          <w:color w:val="0070C0"/>
          <w:sz w:val="20"/>
          <w:szCs w:val="20"/>
        </w:rPr>
        <w:t>Schweiz</w:t>
      </w:r>
      <w:r w:rsidR="00C80E97" w:rsidRPr="00C80E97">
        <w:rPr>
          <w:rFonts w:ascii="Times New Roman" w:hAnsi="Times New Roman"/>
          <w:color w:val="0070C0"/>
          <w:sz w:val="20"/>
          <w:szCs w:val="20"/>
        </w:rPr>
        <w:t xml:space="preserve"> </w:t>
      </w:r>
      <w:r>
        <w:rPr>
          <w:rFonts w:ascii="Times New Roman" w:hAnsi="Times New Roman"/>
          <w:color w:val="000000" w:themeColor="text1"/>
          <w:sz w:val="20"/>
          <w:szCs w:val="20"/>
        </w:rPr>
        <w:t xml:space="preserve">und werden nach diesen Gesetzen ausgelegt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Allgemeinen Geschäftsbedingungen können nur bei Gerichten in </w:t>
      </w:r>
      <w:r w:rsidRPr="00D31BE4">
        <w:rPr>
          <w:rFonts w:ascii="Times New Roman" w:hAnsi="Times New Roman"/>
          <w:color w:val="0070C0"/>
          <w:sz w:val="20"/>
          <w:szCs w:val="20"/>
        </w:rPr>
        <w:t>de</w:t>
      </w:r>
      <w:r w:rsidR="008B10B3" w:rsidRPr="00D31BE4">
        <w:rPr>
          <w:rFonts w:ascii="Times New Roman" w:hAnsi="Times New Roman"/>
          <w:color w:val="0070C0"/>
          <w:sz w:val="20"/>
          <w:szCs w:val="20"/>
        </w:rPr>
        <w:t>r</w:t>
      </w:r>
      <w:r w:rsidRPr="00D31BE4">
        <w:rPr>
          <w:rFonts w:ascii="Times New Roman" w:hAnsi="Times New Roman"/>
          <w:color w:val="0070C0"/>
          <w:sz w:val="20"/>
          <w:szCs w:val="20"/>
        </w:rPr>
        <w:t xml:space="preserve"> </w:t>
      </w:r>
      <w:r w:rsidR="00D31BE4" w:rsidRPr="00D31BE4">
        <w:rPr>
          <w:rFonts w:ascii="Times New Roman" w:hAnsi="Times New Roman"/>
          <w:color w:val="0070C0"/>
          <w:sz w:val="20"/>
          <w:szCs w:val="20"/>
        </w:rPr>
        <w:t>Schweiz</w:t>
      </w:r>
      <w:r w:rsidR="008B10B3" w:rsidRPr="00D31BE4">
        <w:rPr>
          <w:rFonts w:ascii="Times New Roman" w:hAnsi="Times New Roman"/>
          <w:color w:val="0070C0"/>
          <w:sz w:val="20"/>
          <w:szCs w:val="20"/>
        </w:rPr>
        <w:t xml:space="preserve"> </w:t>
      </w:r>
      <w:r>
        <w:rPr>
          <w:rFonts w:ascii="Times New Roman" w:hAnsi="Times New Roman"/>
          <w:color w:val="000000" w:themeColor="text1"/>
          <w:sz w:val="20"/>
          <w:szCs w:val="20"/>
        </w:rPr>
        <w:t xml:space="preserve">eingereicht werden, wobei sich alle Vertragsparteien ausdrücklich mit der juristischen Zuständigkeit dieser Gerichte einverstanden erklären. Falls Bestimmungen der vorliegenden Allgemeinen Geschäftsbedingungen in einem Gerichtsverfahren für ungesetzlich oder nicht durchsetzbar befunden werden, treten diese Bestimmungen separat außer Kraft, wobei die übrigen Bestimmungen unter der Voraussetzung rechtswirksam und bindend bleiben, dass die grundlegenden Bestimmungen dieser Allgemeinen Geschäftsbedingungen gesetzeskonform und durchsetzbar sind.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Kunden sind an die vorliegenden Allgemeinen Geschäftsbedingungen und an die Entscheidungen des Sponsors gebunden, die in jeder Hinsicht endgültig und bindend sind. Soweit gesetzlich zulässig, behält sich der Sponsor das Recht vor, die vorliegenden Allgemeinen Geschäftsbedingungen jederzeit nach eigenem unumschränkten Ermessen zu ändern und die Aktion oder die Teilnahme eines Kunden an der Aktion auszusetzen oder zu beenden, wenn Computerviren, unbefugtes menschliches Eingreifen oder anderen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vorliegenden Allgemeinen Geschäftsbedingungen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Allgemeinen Geschäftsbedingungen gelten die vorliegenden Allgemeinen Geschäftsbedingungen. Im gesamten gesetzlich zulässigen Umfang kann aus dem normalen Geschäftsablauf zwischen dem Kunden und dem Sponsor oder aufgrund der Tatsache, dass der Kunde oder Sponsor seine hierin festgelegten Rechte in einem oder mehreren Fällen nicht durchgesetzt hat, nicht auf einen stillschweigenden Verzicht auf die Durchsetzung von Bestimmungen der vorliegenden Allgemeinen Geschäftsbedingungen geschlossen werden.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die den vorliegenden Allgemeinen Geschäftsbedingungen zuwiderhandeln oder gegen Gesetze, Regeln oder Bestimmungen in Zusammenhang mit der Teilnahme an der Aktion verstoßen, unerlaubte Änderungen an der Aktion vornehmen oder ein Verhalten zeigen, das gegenüber dem Sponsor oder jeglichen anderen Teilnehmern (wie von Fall zu Fall nach eigenem uneingeschränkten Ermessen des Sponsors entschieden wird) störend oder unfair ist, werden von dieser Aktion und allen anderen Rechten und gesetzlich zustehenden Rechtsmitteln ausgeschlossen.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7FF7EB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Die Nutzung der dem Sponsor bereitgestellten personenbezogenen Daten des Kunden durch den Sponsor unterliegt der Datenschutzerklärung des Sponsors (verfügbar unter </w:t>
      </w:r>
      <w:hyperlink r:id="rId15" w:history="1">
        <w:r w:rsidR="00373724" w:rsidRPr="009E4088">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Fragen zu den vorliegenden Allgemeinen Geschäftsbedingungen oder Reaktion können Sie per E-Mail an privacypolicy@fluke.com oder per Post an die folgende Anschrift richten.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Adresse des Sponsors</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Niederlande.</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 Urheberrecht und Marken</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Aktion und alle begleitenden Materialien unterliegen dem Copyright © 2019 durch die Fluke Corporation. Alle Rechte vorbehalten. FLUKE ist eine eingetragene Marke der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4BE622-013D-4DB1-AC70-717950F7E956}"/>
    <w:docVar w:name="dgnword-eventsink" w:val="196418040"/>
  </w:docVars>
  <w:rsids>
    <w:rsidRoot w:val="00F82C88"/>
    <w:rsid w:val="00013570"/>
    <w:rsid w:val="00014F2B"/>
    <w:rsid w:val="000262DD"/>
    <w:rsid w:val="000273E2"/>
    <w:rsid w:val="000A581A"/>
    <w:rsid w:val="000F4D8E"/>
    <w:rsid w:val="000F6198"/>
    <w:rsid w:val="00165597"/>
    <w:rsid w:val="001D7298"/>
    <w:rsid w:val="00222EF2"/>
    <w:rsid w:val="00254C43"/>
    <w:rsid w:val="003357AD"/>
    <w:rsid w:val="00356F65"/>
    <w:rsid w:val="00373724"/>
    <w:rsid w:val="00392224"/>
    <w:rsid w:val="003F4D4C"/>
    <w:rsid w:val="0053632C"/>
    <w:rsid w:val="00581972"/>
    <w:rsid w:val="005F0C96"/>
    <w:rsid w:val="0064322A"/>
    <w:rsid w:val="006540D4"/>
    <w:rsid w:val="006C43A2"/>
    <w:rsid w:val="006D7AA2"/>
    <w:rsid w:val="007A6ED4"/>
    <w:rsid w:val="008212F0"/>
    <w:rsid w:val="00885151"/>
    <w:rsid w:val="00894024"/>
    <w:rsid w:val="008B10B3"/>
    <w:rsid w:val="008C591C"/>
    <w:rsid w:val="009C355E"/>
    <w:rsid w:val="00C80E97"/>
    <w:rsid w:val="00CC14DE"/>
    <w:rsid w:val="00D31BE4"/>
    <w:rsid w:val="00D42E8C"/>
    <w:rsid w:val="00DB0A35"/>
    <w:rsid w:val="00E3788A"/>
    <w:rsid w:val="00E61080"/>
    <w:rsid w:val="00F41FED"/>
    <w:rsid w:val="00F82C88"/>
    <w:rsid w:val="00FC7C9D"/>
    <w:rsid w:val="00FE56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docId w15:val="{705D7B5F-6C7A-456E-836F-8F21D45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37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h/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de-ch/produkte" TargetMode="External"/><Relationship Id="rId4" Type="http://schemas.openxmlformats.org/officeDocument/2006/relationships/customXml" Target="../customXml/item4.xml"/><Relationship Id="rId9" Type="http://schemas.openxmlformats.org/officeDocument/2006/relationships/hyperlink" Target="http://www.fluke.ch/freefluke" TargetMode="External"/><Relationship Id="rId14" Type="http://schemas.openxmlformats.org/officeDocument/2006/relationships/hyperlink" Target="http://www.fluke.ch/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f3865706-924e-43cc-aa61-0c0b382b587e"/>
    <ds:schemaRef ds:uri="ab3f8dec-6d84-4af5-8278-d6d5fb356a39"/>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A1FC7-069A-4ACB-9F72-BE4D75C7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2020-07-01T13:25:00Z</dcterms:created>
  <dcterms:modified xsi:type="dcterms:W3CDTF">2020-07-01T13:25:00Z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