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150BF287" w:rsidR="001D7298" w:rsidRPr="001D7298" w:rsidRDefault="001D7298" w:rsidP="001D7298">
      <w:pPr>
        <w:ind w:left="270"/>
        <w:rPr>
          <w:sz w:val="24"/>
          <w:szCs w:val="24"/>
        </w:rPr>
      </w:pPr>
      <w:r>
        <w:rPr>
          <w:sz w:val="24"/>
          <w:szCs w:val="24"/>
        </w:rPr>
        <w:t>Saat ILMAISEN FLUKE-TYÖKALUN, kun ostat 100 EUROLLA</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Näin saat ilmaisen työkalun Flukelta:</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Osta vähintään 100 euron hintainen kampanjaan kuuluva Fluke-tuote syyskuun 1. päivän ja joulukuun 15. päivän välillä vuonna 2020.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Ostot on tehtävä valtuutetulta </w:t>
      </w:r>
      <w:r w:rsidRPr="006E294F">
        <w:rPr>
          <w:color w:val="0070C0"/>
          <w:sz w:val="16"/>
          <w:szCs w:val="16"/>
        </w:rPr>
        <w:t>Suomessa</w:t>
      </w:r>
      <w:r>
        <w:rPr>
          <w:sz w:val="16"/>
          <w:szCs w:val="16"/>
        </w:rPr>
        <w:t xml:space="preserve"> toimivalta Fluke-jälleenmyyjältä.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Todiste ostosta yhdellä kuitilla tai laskulla. </w:t>
      </w:r>
      <w:bookmarkStart w:id="0" w:name="_Hlk29220021"/>
      <w:r>
        <w:rPr>
          <w:sz w:val="16"/>
          <w:szCs w:val="16"/>
        </w:rPr>
        <w:t>Pakkausmerkinnät, tilaukset tai tilausvahvistukset eivät ole hyväksyttäviä todisteita ostosta.</w:t>
      </w:r>
      <w:bookmarkEnd w:id="0"/>
    </w:p>
    <w:p w14:paraId="409D04F8"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Tähän tarjoukseen kuuluvat vain Fluke IG-, Fluke Calibration- tai Fluke Networks -tuotteet.</w:t>
      </w:r>
    </w:p>
    <w:p w14:paraId="62D46B31" w14:textId="7583C03C"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Lunasta lahjasi verkossa! Käy </w:t>
      </w:r>
      <w:r w:rsidRPr="006E294F">
        <w:rPr>
          <w:sz w:val="16"/>
          <w:szCs w:val="16"/>
        </w:rPr>
        <w:t xml:space="preserve">osoitteessa </w:t>
      </w:r>
      <w:hyperlink r:id="rId9" w:history="1">
        <w:r w:rsidR="004D37ED" w:rsidRPr="006E294F">
          <w:rPr>
            <w:rStyle w:val="Hyperlink"/>
            <w:sz w:val="16"/>
            <w:szCs w:val="16"/>
          </w:rPr>
          <w:t>www.fluke.fi/freefluke</w:t>
        </w:r>
      </w:hyperlink>
    </w:p>
    <w:p w14:paraId="0A21337C" w14:textId="1B1929D3" w:rsidR="001D7298" w:rsidRPr="001D7298" w:rsidRDefault="001D7298" w:rsidP="001D7298">
      <w:pPr>
        <w:pStyle w:val="ListParagraph"/>
        <w:numPr>
          <w:ilvl w:val="0"/>
          <w:numId w:val="8"/>
        </w:numPr>
        <w:spacing w:line="276" w:lineRule="auto"/>
        <w:jc w:val="both"/>
        <w:rPr>
          <w:sz w:val="16"/>
          <w:szCs w:val="16"/>
        </w:rPr>
      </w:pPr>
      <w:r>
        <w:rPr>
          <w:sz w:val="16"/>
          <w:szCs w:val="16"/>
        </w:rPr>
        <w:t>Hyödynnä ilmainen uusi Fluke-työkalusi!</w:t>
      </w:r>
    </w:p>
    <w:p w14:paraId="4BDBC943" w14:textId="49C4F265"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Kampanjaehdot</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Kampanjan kuvaus</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5324479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Osana tätä kampanjaa (</w:t>
      </w:r>
      <w:r>
        <w:rPr>
          <w:rFonts w:ascii="Times New Roman" w:hAnsi="Times New Roman"/>
          <w:color w:val="000000" w:themeColor="text1"/>
          <w:sz w:val="20"/>
          <w:szCs w:val="20"/>
          <w:u w:val="single"/>
        </w:rPr>
        <w:t>kampanja</w:t>
      </w:r>
      <w:r>
        <w:rPr>
          <w:rFonts w:ascii="Times New Roman" w:hAnsi="Times New Roman"/>
          <w:color w:val="000000" w:themeColor="text1"/>
          <w:sz w:val="20"/>
          <w:szCs w:val="20"/>
        </w:rPr>
        <w:t xml:space="preserve">) kampanja-ajan (määritetty osiossa 3 alla) aikana soveltuvat asiakkaat, jotka täyttävät kaikki näissä ehdoissa asetetut kampanjakelvollisuuden ehdot, saavat erikseen erityisen Fluke-tuotteen asiakkaan tekemän oston mukaan alla määritettyjen ehtojen mukaan. Kampanjan aikana Fluke Europe B.V:n tai sen </w:t>
      </w:r>
      <w:r w:rsidRPr="006E294F">
        <w:rPr>
          <w:rFonts w:ascii="Times New Roman" w:hAnsi="Times New Roman"/>
          <w:color w:val="0070C0"/>
          <w:sz w:val="20"/>
          <w:szCs w:val="20"/>
        </w:rPr>
        <w:t xml:space="preserve">Suomessa </w:t>
      </w:r>
      <w:r>
        <w:rPr>
          <w:rFonts w:ascii="Times New Roman" w:hAnsi="Times New Roman"/>
          <w:color w:val="000000" w:themeColor="text1"/>
          <w:sz w:val="20"/>
          <w:szCs w:val="20"/>
        </w:rPr>
        <w:t>oikeussubjektin muodostaman tytäryhtiön (</w:t>
      </w:r>
      <w:r>
        <w:rPr>
          <w:rFonts w:ascii="Times New Roman" w:hAnsi="Times New Roman"/>
          <w:color w:val="000000" w:themeColor="text1"/>
          <w:sz w:val="20"/>
          <w:szCs w:val="20"/>
          <w:u w:val="single"/>
        </w:rPr>
        <w:t>järjestäjä</w:t>
      </w:r>
      <w:r>
        <w:rPr>
          <w:rFonts w:ascii="Times New Roman" w:hAnsi="Times New Roman"/>
          <w:color w:val="000000" w:themeColor="text1"/>
          <w:sz w:val="20"/>
          <w:szCs w:val="20"/>
        </w:rPr>
        <w:t xml:space="preserve">) kampanjakelvolliset asiakkaat, jotka tekevät </w:t>
      </w:r>
      <w:r>
        <w:rPr>
          <w:rFonts w:ascii="Times New Roman" w:hAnsi="Times New Roman"/>
          <w:sz w:val="20"/>
          <w:szCs w:val="20"/>
        </w:rPr>
        <w:t>Fluke IG-, Fluke Calibration- tai Fluke Networks</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-brändiin liittyviä ostoja, ovat oikeutettuja saamaan valitsemansa </w:t>
      </w:r>
      <w:r>
        <w:rPr>
          <w:rFonts w:ascii="Times New Roman" w:hAnsi="Times New Roman"/>
          <w:sz w:val="20"/>
          <w:szCs w:val="20"/>
        </w:rPr>
        <w:t>Fluke-tuotteen</w:t>
      </w:r>
      <w:r>
        <w:rPr>
          <w:rFonts w:ascii="Times New Roman" w:hAnsi="Times New Roman"/>
          <w:color w:val="000000" w:themeColor="text1"/>
          <w:sz w:val="20"/>
          <w:szCs w:val="20"/>
        </w:rPr>
        <w:t xml:space="preserve"> (</w:t>
      </w:r>
      <w:r>
        <w:rPr>
          <w:rFonts w:ascii="Times New Roman" w:hAnsi="Times New Roman"/>
          <w:color w:val="000000" w:themeColor="text1"/>
          <w:sz w:val="20"/>
          <w:szCs w:val="20"/>
          <w:u w:val="single"/>
        </w:rPr>
        <w:t>lahja</w:t>
      </w:r>
      <w:r>
        <w:rPr>
          <w:rFonts w:ascii="Times New Roman" w:hAnsi="Times New Roman"/>
          <w:color w:val="000000" w:themeColor="text1"/>
          <w:sz w:val="20"/>
          <w:szCs w:val="20"/>
        </w:rPr>
        <w:t xml:space="preserve">), joka vastaa oston hintaa alla olevan taulukon mukaisesti, ostaessaan </w:t>
      </w:r>
      <w:r>
        <w:rPr>
          <w:rFonts w:ascii="Times New Roman" w:hAnsi="Times New Roman"/>
          <w:sz w:val="20"/>
          <w:szCs w:val="20"/>
        </w:rPr>
        <w:t>Fluken</w:t>
      </w:r>
      <w:r>
        <w:rPr>
          <w:rFonts w:ascii="Times New Roman" w:hAnsi="Times New Roman"/>
          <w:color w:val="000000" w:themeColor="text1"/>
          <w:sz w:val="20"/>
          <w:szCs w:val="20"/>
        </w:rPr>
        <w:t>tuotteita.</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Tätä kampanjaa varten termi </w:t>
      </w:r>
      <w:r>
        <w:rPr>
          <w:rFonts w:ascii="Times New Roman" w:hAnsi="Times New Roman"/>
          <w:sz w:val="20"/>
          <w:szCs w:val="20"/>
        </w:rPr>
        <w:t xml:space="preserve">Fluke-tuotteet </w:t>
      </w:r>
      <w:r>
        <w:rPr>
          <w:rFonts w:ascii="Times New Roman" w:hAnsi="Times New Roman"/>
          <w:color w:val="000000" w:themeColor="text1"/>
          <w:sz w:val="20"/>
          <w:szCs w:val="20"/>
        </w:rPr>
        <w:t>on määritelty erikseen seuraavasti:</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Fluke-tuotteet</w:t>
      </w:r>
      <w:r>
        <w:rPr>
          <w:rFonts w:ascii="Times New Roman" w:hAnsi="Times New Roman"/>
          <w:color w:val="000000" w:themeColor="text1"/>
          <w:sz w:val="20"/>
          <w:szCs w:val="20"/>
        </w:rPr>
        <w:t xml:space="preserve"> tarkoittaa: </w:t>
      </w:r>
    </w:p>
    <w:p w14:paraId="31D5C6FE" w14:textId="4132DBAA"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niin kuin on mainittu luettelossa sivulla </w:t>
      </w:r>
      <w:hyperlink r:id="rId10" w:history="1">
        <w:r w:rsidR="004D37ED" w:rsidRPr="006E294F">
          <w:rPr>
            <w:rStyle w:val="Hyperlink"/>
            <w:rFonts w:ascii="Times New Roman" w:hAnsi="Times New Roman"/>
            <w:sz w:val="20"/>
            <w:szCs w:val="20"/>
          </w:rPr>
          <w:t>https://www.fluke.com/fi-fi-tuotteet</w:t>
        </w:r>
      </w:hyperlink>
      <w:r w:rsidRPr="006E294F">
        <w:rPr>
          <w:rFonts w:ascii="Times New Roman" w:hAnsi="Times New Roman"/>
          <w:color w:val="000000" w:themeColor="text1"/>
          <w:sz w:val="20"/>
          <w:szCs w:val="20"/>
        </w:rPr>
        <w:t>,</w:t>
      </w:r>
    </w:p>
    <w:p w14:paraId="4A69148F" w14:textId="57DDC611"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niin kuin on mainittu luettelossa sivulla </w:t>
      </w:r>
      <w:hyperlink r:id="rId11" w:history="1">
        <w:r w:rsidR="00CF29BB" w:rsidRPr="00791BCC">
          <w:rPr>
            <w:rStyle w:val="Hyperlink"/>
            <w:rFonts w:ascii="Times New Roman" w:hAnsi="Times New Roman"/>
            <w:sz w:val="20"/>
            <w:szCs w:val="20"/>
          </w:rPr>
          <w:t>https://eu.fluk</w:t>
        </w:r>
        <w:bookmarkStart w:id="1" w:name="_GoBack"/>
        <w:bookmarkEnd w:id="1"/>
        <w:r w:rsidR="00CF29BB" w:rsidRPr="00791BCC">
          <w:rPr>
            <w:rStyle w:val="Hyperlink"/>
            <w:rFonts w:ascii="Times New Roman" w:hAnsi="Times New Roman"/>
            <w:sz w:val="20"/>
            <w:szCs w:val="20"/>
          </w:rPr>
          <w:t>e</w:t>
        </w:r>
        <w:r w:rsidR="00CF29BB" w:rsidRPr="00791BCC">
          <w:rPr>
            <w:rStyle w:val="Hyperlink"/>
            <w:rFonts w:ascii="Times New Roman" w:hAnsi="Times New Roman"/>
            <w:sz w:val="20"/>
            <w:szCs w:val="20"/>
          </w:rPr>
          <w:t>cal.com/products</w:t>
        </w:r>
      </w:hyperlink>
      <w:r>
        <w:rPr>
          <w:rFonts w:ascii="Times New Roman" w:hAnsi="Times New Roman"/>
          <w:color w:val="000000" w:themeColor="text1"/>
          <w:sz w:val="20"/>
          <w:szCs w:val="20"/>
        </w:rPr>
        <w:t>; pois lukien huolto- ja kalibrointipalvelut</w:t>
      </w:r>
    </w:p>
    <w:p w14:paraId="082D8183" w14:textId="08F6BF71"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niin kuin on mainittu luettelossa sivulla </w:t>
      </w:r>
      <w:hyperlink r:id="rId12" w:history="1">
        <w:r w:rsidR="00CF29BB" w:rsidRPr="00791BCC">
          <w:rPr>
            <w:rStyle w:val="Hyperlink"/>
            <w:rFonts w:ascii="Times New Roman" w:hAnsi="Times New Roman"/>
            <w:sz w:val="20"/>
            <w:szCs w:val="20"/>
          </w:rPr>
          <w:t>www.flukenetwor</w:t>
        </w:r>
        <w:r w:rsidR="00CF29BB" w:rsidRPr="00791BCC">
          <w:rPr>
            <w:rStyle w:val="Hyperlink"/>
            <w:rFonts w:ascii="Times New Roman" w:hAnsi="Times New Roman"/>
            <w:sz w:val="20"/>
            <w:szCs w:val="20"/>
          </w:rPr>
          <w:t>k</w:t>
        </w:r>
        <w:r w:rsidR="00CF29BB" w:rsidRPr="00791BCC">
          <w:rPr>
            <w:rStyle w:val="Hyperlink"/>
            <w:rFonts w:ascii="Times New Roman" w:hAnsi="Times New Roman"/>
            <w:sz w:val="20"/>
            <w:szCs w:val="20"/>
          </w:rPr>
          <w:t>s.com</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Erityisesti tämä sulkee pois kaikki muut Fluke-tuotteet, joita ovat esimerkiksi Fluke Biomedical, Beha-Amprobe, Pomona, Comark, eMaint software ja Pasific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Osallistumisoikeus ja kampanja-aika</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76A65D00"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Tähän kampanjaan osallistuvien asiakkaiden on asuttava Suomessa. Jotta asiakas olisi oikeutettu osallistumaan tähän kampanjaan, hänen on ostettava Fluke-tuote (-tuotteita) vähintään 100 €:n (sata euroa) arvosta kampanja-aikana. Kampanja-aika alkaa klo 00.00 (CET) </w:t>
      </w:r>
      <w:r>
        <w:rPr>
          <w:rFonts w:ascii="Times New Roman" w:hAnsi="Times New Roman"/>
          <w:sz w:val="20"/>
          <w:szCs w:val="20"/>
        </w:rPr>
        <w:t>1. syyskuuta 2020 ja se päättyy klo 23.59 (CET) 15. joulukuuta 2020 (</w:t>
      </w:r>
      <w:r>
        <w:rPr>
          <w:rFonts w:ascii="Times New Roman" w:hAnsi="Times New Roman"/>
          <w:sz w:val="20"/>
          <w:szCs w:val="20"/>
          <w:u w:val="single"/>
        </w:rPr>
        <w:t>kampanja-aika</w:t>
      </w:r>
      <w:r>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Asiakkaalla on oltava ostosta lasku/kuitti, jossa näkyy kampanja-aikaan kuuluva ostopäivä. Järjestäjän tietokone on kampanjan virallinen ajanottoväline. Kampanja koskee vain kampanja-aikana tehtyjä ostoja.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5F64261F"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 xml:space="preserve">Osallistumaan oikeutetut asiakkaat voivat valita ja lunastaa alla olevista vaihtoehdoista yhden (1) lahjan, joka vastaa asiakkaan Fluke-tuotteesta kampanja-aikana oston yhteydessä maksamaa summaa. Jos laskuissa on näkyvissä muita kuin Fluke-tuotteita Fluke-tuotteen/-tuotteiden lisäksi, vain Fluke-tuotteista muodostuva hinta huomioidaan lahjakategorian määrittämisessä. Lahjakategoriat ja niiden määritys osoitteessa </w:t>
      </w:r>
      <w:hyperlink r:id="rId13" w:history="1">
        <w:r w:rsidR="004D37ED" w:rsidRPr="006E294F">
          <w:rPr>
            <w:rStyle w:val="Hyperlink"/>
            <w:rFonts w:ascii="Times New Roman" w:hAnsi="Times New Roman"/>
            <w:sz w:val="20"/>
            <w:szCs w:val="20"/>
          </w:rPr>
          <w:t>www.fluke.fi/freefluke</w:t>
        </w:r>
      </w:hyperlink>
      <w:r w:rsidRPr="006E294F">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Kampanjan osallistumisohjeet</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Saadakseen lahjan osallistumiseen oikeutettujen asiakkaiden on toimittava alla olevien ohjeiden mukaan: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7010D65D"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Asiakkaiden on jätettävä pyyntö kampanjan verkkorekisteröitymislomakkeen kautta osoitteessa</w:t>
      </w:r>
      <w:r w:rsidR="00A856CA">
        <w:rPr>
          <w:rFonts w:ascii="Times New Roman" w:hAnsi="Times New Roman"/>
          <w:color w:val="000000" w:themeColor="text1"/>
          <w:sz w:val="20"/>
          <w:szCs w:val="20"/>
        </w:rPr>
        <w:t xml:space="preserve"> </w:t>
      </w:r>
      <w:hyperlink r:id="rId14" w:history="1">
        <w:r w:rsidR="00A856CA" w:rsidRPr="007F06C2">
          <w:rPr>
            <w:rStyle w:val="Hyperlink"/>
            <w:rFonts w:ascii="Times New Roman" w:hAnsi="Times New Roman"/>
            <w:sz w:val="20"/>
            <w:szCs w:val="20"/>
          </w:rPr>
          <w:t>www.fluke.fi/freefluke</w:t>
        </w:r>
      </w:hyperlink>
      <w:r w:rsidRPr="006E294F">
        <w:rPr>
          <w:rFonts w:ascii="Times New Roman" w:hAnsi="Times New Roman"/>
          <w:color w:val="0070C0"/>
          <w:sz w:val="20"/>
          <w:szCs w:val="20"/>
        </w:rPr>
        <w:t xml:space="preserve">. </w:t>
      </w:r>
      <w:r>
        <w:rPr>
          <w:rFonts w:ascii="Times New Roman" w:hAnsi="Times New Roman"/>
          <w:color w:val="000000" w:themeColor="text1"/>
          <w:sz w:val="20"/>
          <w:szCs w:val="20"/>
        </w:rPr>
        <w:t xml:space="preserve">Kampanjalomake on täytettävä kokonaan ja sen mukana on lähetettävä selkeä, lukukelpoinen skannattu kuva kampanja-aikana ostetun Fluke-tuotteen kuitista todisteeksi ostosta. Pakkausmerkinnät, tilaukset tai tilausvahvistukset eivät ole hyväksyttäviä todisteita ostosta. Tämän kampanja-ajan ulkopuolella päivätyt laskut eivät ole kelvollisia, ja niitä ei huomioida. Ostotodistuksen lisäksi asiakkaan </w:t>
      </w:r>
      <w:r w:rsidR="004D37ED" w:rsidRPr="006E294F">
        <w:rPr>
          <w:rFonts w:ascii="Times New Roman" w:hAnsi="Times New Roman"/>
          <w:color w:val="0070C0"/>
          <w:sz w:val="20"/>
          <w:szCs w:val="20"/>
        </w:rPr>
        <w:t>Suomessa</w:t>
      </w:r>
      <w:r>
        <w:rPr>
          <w:rFonts w:ascii="Times New Roman" w:hAnsi="Times New Roman"/>
          <w:color w:val="000000" w:themeColor="text1"/>
          <w:sz w:val="20"/>
          <w:szCs w:val="20"/>
        </w:rPr>
        <w:t xml:space="preserve"> osoite on pakollinen lahjan saamiseen vaadittava tieto.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Asiakkaiden on valittava rekisteröintilomakkeessa verkossa haluamansa lahja ostoon käyttämänsä summan mukaan.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Asiakkaat voivat jättää vain yhden (1) hakemuksen laskua kohti. Laskuja ei voi käyttää yhdessä tai käyttää useammin kuin kerran.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ottaa kelvollisia hakemuksia vastaan </w:t>
      </w:r>
      <w:r>
        <w:rPr>
          <w:rFonts w:ascii="Times New Roman" w:hAnsi="Times New Roman"/>
          <w:sz w:val="20"/>
          <w:szCs w:val="20"/>
        </w:rPr>
        <w:t xml:space="preserve">15. tammikuuta 2021 asti </w:t>
      </w:r>
      <w:r>
        <w:rPr>
          <w:rFonts w:ascii="Times New Roman" w:hAnsi="Times New Roman"/>
          <w:color w:val="000000" w:themeColor="text1"/>
          <w:sz w:val="20"/>
          <w:szCs w:val="20"/>
        </w:rPr>
        <w:t>(‘</w:t>
      </w:r>
      <w:r>
        <w:rPr>
          <w:rFonts w:ascii="Times New Roman" w:hAnsi="Times New Roman"/>
          <w:color w:val="000000" w:themeColor="text1"/>
          <w:sz w:val="20"/>
          <w:szCs w:val="20"/>
          <w:u w:val="single"/>
        </w:rPr>
        <w:t>hakemusten eräpäivä</w:t>
      </w:r>
      <w:r>
        <w:rPr>
          <w:rFonts w:ascii="Times New Roman" w:hAnsi="Times New Roman"/>
          <w:color w:val="000000" w:themeColor="text1"/>
          <w:sz w:val="20"/>
          <w:szCs w:val="20"/>
        </w:rPr>
        <w:t>). Tämän päivämäärän jälkeen saapuneet hakemukset hylätään kelpaamattomina.</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Järjestäjä tarkistaa lähetetyt kuvat laskuista, lahjavalinnan sekä lomakkeet. Jos lomakkeessa, valitussa lahjassa tai asiakkaan ilmoittamassa ostosummassa on epäselvyyksiä, järjestäjällä on oikeus omalla päätöksellään valita asiakkaalle oikea lahja. Jos asiakkaan hakemus ei täytä näitä kampanjaehtoja tai se on muuten lukukelvoton, järjestäjä ilmoittaa tästä asiakkaalle.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tai sen edustajat lähettävät lahjan asiakkaan antamaan osoitteeseen 30 päivän sisällä </w:t>
      </w:r>
      <w:r>
        <w:rPr>
          <w:rFonts w:ascii="Times New Roman" w:hAnsi="Times New Roman"/>
          <w:sz w:val="20"/>
          <w:szCs w:val="20"/>
        </w:rPr>
        <w:t>hakemusten eräpäivästä</w:t>
      </w:r>
      <w:r>
        <w:rPr>
          <w:rFonts w:ascii="Times New Roman" w:hAnsi="Times New Roman"/>
          <w:color w:val="000000" w:themeColor="text1"/>
          <w:sz w:val="20"/>
          <w:szCs w:val="20"/>
        </w:rPr>
        <w:t>.</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Jos asiakas ei saa ilmaista lahjaa, hänen on ilmoitettava siitä viipymättä järjestäjälle, viimeistään </w:t>
      </w:r>
      <w:r>
        <w:rPr>
          <w:rFonts w:ascii="Times New Roman" w:hAnsi="Times New Roman"/>
          <w:sz w:val="20"/>
          <w:szCs w:val="20"/>
        </w:rPr>
        <w:t>28. helmikuuta 2021 mennessä</w:t>
      </w:r>
      <w:r>
        <w:rPr>
          <w:rFonts w:ascii="Times New Roman" w:hAnsi="Times New Roman"/>
          <w:color w:val="000000" w:themeColor="text1"/>
          <w:sz w:val="20"/>
          <w:szCs w:val="20"/>
        </w:rPr>
        <w:t>. Järjestäjä päättää itse, vastaako se tämän päivän jälkeen vastaanotettuihin ilmoituksiin saapumattomista lahjoista.</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Kampanjan muut rajoitukset ja ehdot</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Tämä kampanja on itsenäinen kampanja, eikä sitä voi yhdistää millään tavalla muihin kampanjoihin, tarjouksiin, alennuksiin tai kuponkeihin. Lahjaa ei voi saada muista palveluista tai ostoksista, eikä sitä voi yhdistää muihin erikoistarjouksiin, kampanjoihin tai sopimuksiin.</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tarkistaa asiakkaan ja kaikki asiakkaan tämän kampanjan yhteydessä järjestäjälle lähettämät materiaalit oman harkintansa mukaan. Järjestäjä voi hylätä omalla päätöksellään kaikki kampanjaan liittyvät lähetetyt materiaalit, jotka eivät jollakin tavalla täytä kampanjan ehtoja, ja asiakas voi menettää osallistumisoikeutensa kampanjaan.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Järjestäjän, sen emoyhtiön, tytäryhtiöiden, jälleenmyyjien ja edustajien työntekijät, päälliköt ja toimihenkilöt sekä heidän perheensä (vanhemmat, sisarukset, lapset ja puolisot) ja samassa taloudessa asuvat henkilöt (sukulaiset tai ei) eivät saa osallistua tähän kampanjaan. Lisäksi kilpailevan työkalunvalmistajan tai jälleenmyyjän työntekijät, toimihenkilöt, päälliköt, edustajat tai jälleenmyyjät eivät saa osallistua kampanjaan. Lain mukaan seuraavat eivät ole oikeutettuja osallistumaan: vierasmaalaisen hallituksen tai hallituselimen tai julkisen kansainvälisen järjestön työntekijät; henkilöt, jotka toimivat virallisesti tällaisen hallituselimen tai järjestön puolesta tai sen nimissä; valtion omistamien tai ohjaamien yritysten työntekijät sekä henkilöt, jotka tukevat poliittista puoluetta, puolueen virkamiehiä tai ehdokkaita.</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Vastuuvapauslauseke</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ja sen emoyhtiöt tai tytäryhtiöt sekä niiden johtajat, toimihenkilöt, ammatilliset neuvonantajat, jälleenmyyjät, edustajat, työntekijät ja toimitsijat (yhteisnimikkeellä </w:t>
      </w:r>
      <w:r>
        <w:rPr>
          <w:rFonts w:ascii="Times New Roman" w:hAnsi="Times New Roman"/>
          <w:color w:val="000000" w:themeColor="text1"/>
          <w:sz w:val="20"/>
          <w:szCs w:val="20"/>
          <w:u w:val="single"/>
        </w:rPr>
        <w:t>vapautetut osapuolet</w:t>
      </w:r>
      <w:r>
        <w:rPr>
          <w:rFonts w:ascii="Times New Roman" w:hAnsi="Times New Roman"/>
          <w:color w:val="000000" w:themeColor="text1"/>
          <w:sz w:val="20"/>
          <w:szCs w:val="20"/>
        </w:rPr>
        <w:t xml:space="preserve">) eivät ole millään tavalla vastuussa seuraavista: (a) kampanjaan liittyvät myöhästyneet, kadonneet, väärälle henkilölle päätyneet, vääristyneet tai vahingoittuneet viestit, lähetykset tai lunastuspyynnöt; (b) puhelinta, sähkölaitteita, laitteistoja, ohjelmistoja, verkkoa, internetiä tai muita tietokoneita tai viestintää koskevat, kampanjaan liittyvät toimintahäiriöt tai -katkot; (c) kaikki kampanjan keskeytykset, vammat, vauriot tai menetykset, jotka eivät ole järjestäjän tai valtuuttamattoman henkilön toimesta tai muun puuttumisen avulla estettävien tapahtumien seurausta, tai (d) kampanjan materiaaleihin liittyvät kirjoitus- tai painovirheet.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Vapautus vastuusta ja vahingonkorvausvastuusta</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Ellei laki toisin määrää, asiakas antaa kampanjaan osallistumalla kaikille vapautetuille osapuolille vastuuvapauden kaikista suorista, erityisistä, sattumanvaraisista tai aiheutuvista vastuista, velvoitteista, vaurioista, vaateista, haasteista, toimenpiteistä, kuluista ja kaikenlaisista menetyksistä ja vaurioista, kuten kaikista verovastuista tai mahdollisuuksien menettämisistä, joita tähän kampanjaan ja sen tarjouksiin liittyville vapautetuille osapuolille voidaan asettaa tai joista he voivat joutua osallisiksi. Näihin voivat kuulua esimerkiksi seuraaviin seikkoihin liittyvät tai niistä aiheutuvat vaateet: (a) kaikki tekniset ongelmat tai laitteiden viat (jotka ovat tai eivät ole järjestäjän hallittavissa); (b) kaikki varkaudet, valtuuttamattomat käytöt tai kolmannen osapuolen aiheuttamat häiriöt, (c) kaikki myöhästyneet, hävinneet, vaurioituneet tai väärälle henkilölle (järjestäjän vastaanottamisen jälkeen tai sitä ennen, järjestäjän hallinnassa tai ei) joutuneet korvauspyynnöt (d) kaikki postipalveluiden aiheuttamat vauriot; (e) kaikki poikkeukset näissä kampanjaehdoissa mainituista tuotteen arvoista; (f) kaikki osallistujalle koituvat verovastuut tai (g) kampanjan aikana tarjottavien tuotteiden käyttö tai väärinkäyttö.</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Muut</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7154726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Kampanjaa sekä sen ehtoja hallinnoidaan ja tulkitaan </w:t>
      </w:r>
      <w:r w:rsidRPr="00063447">
        <w:rPr>
          <w:rFonts w:ascii="Times New Roman" w:hAnsi="Times New Roman"/>
          <w:color w:val="0070C0"/>
          <w:sz w:val="20"/>
          <w:szCs w:val="20"/>
        </w:rPr>
        <w:t>Suomen</w:t>
      </w:r>
      <w:r>
        <w:rPr>
          <w:rFonts w:ascii="Times New Roman" w:hAnsi="Times New Roman"/>
          <w:color w:val="FF0000"/>
          <w:sz w:val="20"/>
          <w:szCs w:val="20"/>
        </w:rPr>
        <w:t xml:space="preserve"> </w:t>
      </w:r>
      <w:r>
        <w:rPr>
          <w:rFonts w:ascii="Times New Roman" w:hAnsi="Times New Roman"/>
          <w:color w:val="000000" w:themeColor="text1"/>
          <w:sz w:val="20"/>
          <w:szCs w:val="20"/>
        </w:rPr>
        <w:t xml:space="preserve">lakien mukaisesti huomioimatta ristiriitoja tai oikeusistuimen paikan valintaan liittyviä ehtoja, jotka voivat viitata minkä tahansa termin tulkintaan toisten tuomiovaltojen laeissa. Kaikki tätä kampanjaa ja näitä ehtoja koskevat oikeustoimet voidaan tuoda vain </w:t>
      </w:r>
      <w:r w:rsidRPr="00063447">
        <w:rPr>
          <w:rFonts w:ascii="Times New Roman" w:hAnsi="Times New Roman"/>
          <w:color w:val="0070C0"/>
          <w:sz w:val="20"/>
          <w:szCs w:val="20"/>
        </w:rPr>
        <w:t>Suomessa</w:t>
      </w:r>
      <w:r>
        <w:rPr>
          <w:rFonts w:ascii="Times New Roman" w:hAnsi="Times New Roman"/>
          <w:color w:val="000000" w:themeColor="text1"/>
          <w:sz w:val="20"/>
          <w:szCs w:val="20"/>
        </w:rPr>
        <w:t xml:space="preserve"> sijaitsevien alueellisten ja valtion tason oikeusistuimiin ja tällaisessa tilanteessa molemmat osapuolet suostuvat ilman erillistä suostumusta näiden oikeusistuinten tuomiovaltaan. Jos mitään näiden ehtojen osaa pidetään laittomana tai laillisesti pätemättömänä, nämä osat poistetaan eikä niitä laiteta täytäntöön ja mikäli näiden ehtojen pääasialliset ehdot ovat yhä lain mukaisia ja päteviä, nämä jäljelle jäävät ehdot pysyvät voimassa ja pätevinä.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Asiakasta sitovat nämä ehdot sekä järjestäjän tekemät päätökset, jotka ovat kaikissa suhteissa lopullisia ja sitovia. Lain antamien vapauksien puitteissa järjestäjä varaa itselleen oikeuden muuttaa näitä ehtoja milloin </w:t>
      </w:r>
      <w:r>
        <w:rPr>
          <w:rFonts w:ascii="Times New Roman" w:hAnsi="Times New Roman"/>
          <w:color w:val="000000" w:themeColor="text1"/>
          <w:sz w:val="20"/>
          <w:szCs w:val="20"/>
        </w:rPr>
        <w:lastRenderedPageBreak/>
        <w:t>vain omalla päätöksellään ja keskeyttää tai perua kampanjan tai kenen tahansa asiakkaan osallistumisen siihen, jos tietokonevirukset, valtuuttamattomat ihmisen tekemät toimet tai muut järjestäjän hallitsemattomissa olevat asiat vaikuttavat kampanjan hallinnoimiseen, turvallisuuteen tai toteuttamiseen. Muuten järjestäjästä tulee (omalla päätöksellään) kykenemätön kampanjan toteuttamiseen suunnitelman mukaisesti. Näin voi tapahtua myös muusta järjestäjän omalla päätöksellä määrittämästä syystä.</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Nämä ehdot ovat kampanjaa kokonaisuudessaan määrittävä sopimus ja sitova asiakkaalle. Muita sopimuksia, suullisia tai muita, ei pidetä kampanjan kannalta sitovina ellei niitä ole annettu kirjallisina ja järjestäjän allekirjoittamina. Jos mikään kampanjaan liittyvä asiakirja on ristiriidassa näiden ehtojen kanssa, nämä ehdot ovat ensisijaiset. Lain antamien enimmäisvapauksien puitteissa mitään vapauksia mistään näistä ehdoista ei anneta missään asiakkaan ja järjestäjän välisissä toimenpiteissä tai asiakkaan tai järjestäjän epäonnistuessa puolustaa oikeuksiaan näihin ehtoihin liittyen missään tilanteessa tai tilanteissa.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Asiakkaalta, joka rikkoo näitä ehtoja tai mitä tahansa lakia, säännöstä tai säädöstä osallistuessaan tähän kampanjaan, sekaantuu kampanjan toteuttamiseen tai aloittaa mitään järjestäjää, kampanjaa tai muuta osallistujaa kohtaan vahingollisia tai epäreiluja menettelyjä (vahingollisuuden määrittäminen on järjestäjän yksinoikeus) voidaan poistaa oikeus osallistua kampanjaan ja muita lainmukaisia oikeuksia tai korvausvaadeoikeuksia.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Järjestäjä käyttää asiakkaan järjestäjälle antamia henkilötietoja järjestäjän tietosuojakäytännön mukaan (luettavissa osoitteessa </w:t>
      </w:r>
      <w:hyperlink r:id="rId15"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Jos sinulla on näihin ehtoihin tai kampanjaan liittyviä kysymyksiä, lähetä sähköpostia osoitteeseen privacypolicy@fluke.com tai postita ne alla olevaan osoitteeseen.</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Järjestäjän osoitetiedot</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The Netherlands.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Tekijänoikeus- ja tavaramerkki-ilmoitukset</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Kampanja ja sen materiaalit kuuluvat seuraaviin tekijänoikeuksiin: © 2019 by Fluke Corporation All rights reserved. FLUKE on Fluke Corporationin rekisteröity tavaramerkki.</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63447"/>
    <w:rsid w:val="000A581A"/>
    <w:rsid w:val="000F4D8E"/>
    <w:rsid w:val="000F6198"/>
    <w:rsid w:val="00165597"/>
    <w:rsid w:val="001D7298"/>
    <w:rsid w:val="00222EF2"/>
    <w:rsid w:val="00254C43"/>
    <w:rsid w:val="003357AD"/>
    <w:rsid w:val="00356F65"/>
    <w:rsid w:val="00392224"/>
    <w:rsid w:val="003F4D4C"/>
    <w:rsid w:val="004D37ED"/>
    <w:rsid w:val="0053632C"/>
    <w:rsid w:val="005F0C96"/>
    <w:rsid w:val="0064322A"/>
    <w:rsid w:val="006540D4"/>
    <w:rsid w:val="006C43A2"/>
    <w:rsid w:val="006D7AA2"/>
    <w:rsid w:val="006E294F"/>
    <w:rsid w:val="008212F0"/>
    <w:rsid w:val="00885151"/>
    <w:rsid w:val="00894024"/>
    <w:rsid w:val="008A580B"/>
    <w:rsid w:val="008C591C"/>
    <w:rsid w:val="009C355E"/>
    <w:rsid w:val="00A856CA"/>
    <w:rsid w:val="00CC14DE"/>
    <w:rsid w:val="00CF29BB"/>
    <w:rsid w:val="00DB0A35"/>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fi/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etwork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products" TargetMode="External"/><Relationship Id="rId5" Type="http://schemas.openxmlformats.org/officeDocument/2006/relationships/numbering" Target="numbering.xml"/><Relationship Id="rId15" Type="http://schemas.openxmlformats.org/officeDocument/2006/relationships/hyperlink" Target="http://en-us.fluke.com/site/privacy" TargetMode="External"/><Relationship Id="rId10" Type="http://schemas.openxmlformats.org/officeDocument/2006/relationships/hyperlink" Target="https://www.fluke.com/fi-fi-tuotteet" TargetMode="External"/><Relationship Id="rId4" Type="http://schemas.openxmlformats.org/officeDocument/2006/relationships/customXml" Target="../customXml/item4.xml"/><Relationship Id="rId9" Type="http://schemas.openxmlformats.org/officeDocument/2006/relationships/hyperlink" Target="http://www.fluke.fi/freefluke" TargetMode="External"/><Relationship Id="rId14" Type="http://schemas.openxmlformats.org/officeDocument/2006/relationships/hyperlink" Target="http://www.fluke.fi/freeflu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 ds:uri="http://purl.org/dc/terms/"/>
    <ds:schemaRef ds:uri="http://schemas.microsoft.com/office/infopath/2007/PartnerControls"/>
    <ds:schemaRef ds:uri="f3865706-924e-43cc-aa61-0c0b382b587e"/>
    <ds:schemaRef ds:uri="ab3f8dec-6d84-4af5-8278-d6d5fb356a39"/>
    <ds:schemaRef ds:uri="http://purl.org/dc/dcmitype/"/>
  </ds:schemaRefs>
</ds:datastoreItem>
</file>

<file path=customXml/itemProps4.xml><?xml version="1.0" encoding="utf-8"?>
<ds:datastoreItem xmlns:ds="http://schemas.openxmlformats.org/officeDocument/2006/customXml" ds:itemID="{EC40107B-946D-4EB9-A565-0913D4FB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6</cp:revision>
  <cp:lastPrinted>2020-01-06T10:20:00Z</cp:lastPrinted>
  <dcterms:created xsi:type="dcterms:W3CDTF">2020-06-30T12:17:00Z</dcterms:created>
  <dcterms:modified xsi:type="dcterms:W3CDTF">2020-07-01T12:24:00Z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