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6858B376" w:rsidR="001D7298" w:rsidRPr="001D7298" w:rsidRDefault="001D7298" w:rsidP="001D7298">
      <w:pPr>
        <w:ind w:left="270"/>
        <w:rPr>
          <w:sz w:val="24"/>
          <w:szCs w:val="24"/>
        </w:rPr>
      </w:pPr>
      <w:r>
        <w:rPr>
          <w:sz w:val="24"/>
          <w:szCs w:val="24"/>
        </w:rPr>
        <w:t>Profitez d’un APPAREIL FLUKE GRATUIT pour tout achat de plus de 100 EUR</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Comment recevoir votre cadeau Fluke :</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Dépensez au moins 100 EUR pour une sélection de produits Fluke entre le 1er septembre et le 15 décembre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Les achats doivent être effectués chez un distributeur agréé par Fluke en </w:t>
      </w:r>
      <w:r w:rsidRPr="00B067E5">
        <w:rPr>
          <w:color w:val="0070C0"/>
          <w:sz w:val="16"/>
          <w:szCs w:val="16"/>
        </w:rPr>
        <w:t>France.</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Une preuve d’achat, sous la forme d’un ticket de caisse ou d’une facture, est nécessaire. </w:t>
      </w:r>
      <w:bookmarkStart w:id="0" w:name="_Hlk29220021"/>
      <w:r>
        <w:rPr>
          <w:sz w:val="16"/>
          <w:szCs w:val="16"/>
        </w:rPr>
        <w:t>Un bordereau de livraison, un bon de commande ou une confirmation de commande ne constituent pas une preuve d´achat.</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Seuls les produits Fluke IG, Fluke Calibration et Fluke Networks sont éligibles pour cette promotion.</w:t>
      </w:r>
    </w:p>
    <w:p w14:paraId="62D46B31" w14:textId="7F71B74F"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Récupérez de votre cadeau en ligne ! Rendez-vous sur </w:t>
      </w:r>
      <w:r w:rsidRPr="00B067E5">
        <w:rPr>
          <w:sz w:val="16"/>
          <w:szCs w:val="16"/>
        </w:rPr>
        <w:t xml:space="preserve">: </w:t>
      </w:r>
      <w:hyperlink r:id="rId9" w:history="1">
        <w:r w:rsidR="00B067E5" w:rsidRPr="00B067E5">
          <w:rPr>
            <w:rStyle w:val="Hyperlink"/>
            <w:sz w:val="16"/>
            <w:szCs w:val="16"/>
          </w:rPr>
          <w:t>www.fluke.fr/freefluke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Recevez et profitez de votre outil Fluke !</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Description de la promotion </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5324479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Dans le cadre de la présente promotion (la « </w:t>
      </w:r>
      <w:r>
        <w:rPr>
          <w:rFonts w:ascii="Times New Roman" w:hAnsi="Times New Roman"/>
          <w:color w:val="000000" w:themeColor="text1"/>
          <w:sz w:val="20"/>
          <w:szCs w:val="20"/>
          <w:u w:val="single"/>
        </w:rPr>
        <w:t>Promotion</w:t>
      </w:r>
      <w:r>
        <w:rPr>
          <w:rFonts w:ascii="Times New Roman" w:hAnsi="Times New Roman"/>
          <w:color w:val="000000" w:themeColor="text1"/>
          <w:sz w:val="20"/>
          <w:szCs w:val="20"/>
        </w:rPr>
        <w:t xml:space="preserve"> ») et pendant la Période de la promotion (définie à la Section 3 ci-dessous), les clients éligibles répondant aux exigences énoncées ci-après dans les présentes Conditions générales de la Promotion peuvent recevoir un produit spécial Fluke déterminé en fonction de l’achat d’origine, tel que décrit ci-dessous. D’après la Promotion, les clients éligibles pour Fluke Europe B.V. ou ses entités légales affiliées en </w:t>
      </w:r>
      <w:r w:rsidRPr="00B067E5">
        <w:rPr>
          <w:rFonts w:ascii="Times New Roman" w:hAnsi="Times New Roman"/>
          <w:color w:val="0070C0"/>
          <w:sz w:val="20"/>
          <w:szCs w:val="20"/>
        </w:rPr>
        <w:t>France</w:t>
      </w:r>
      <w:r>
        <w:rPr>
          <w:rFonts w:ascii="Times New Roman" w:hAnsi="Times New Roman"/>
          <w:color w:val="FF0000"/>
          <w:sz w:val="20"/>
          <w:szCs w:val="20"/>
        </w:rPr>
        <w:t xml:space="preserve"> </w:t>
      </w:r>
      <w:r>
        <w:rPr>
          <w:rFonts w:ascii="Times New Roman" w:hAnsi="Times New Roman"/>
          <w:color w:val="000000" w:themeColor="text1"/>
          <w:sz w:val="20"/>
          <w:szCs w:val="20"/>
        </w:rPr>
        <w:t>(le « </w:t>
      </w:r>
      <w:r>
        <w:rPr>
          <w:rFonts w:ascii="Times New Roman" w:hAnsi="Times New Roman"/>
          <w:color w:val="000000" w:themeColor="text1"/>
          <w:sz w:val="20"/>
          <w:szCs w:val="20"/>
          <w:u w:val="single"/>
        </w:rPr>
        <w:t>Commanditaire</w:t>
      </w:r>
      <w:r>
        <w:rPr>
          <w:rFonts w:ascii="Times New Roman" w:hAnsi="Times New Roman"/>
          <w:color w:val="000000" w:themeColor="text1"/>
          <w:sz w:val="20"/>
          <w:szCs w:val="20"/>
        </w:rPr>
        <w:t xml:space="preserve"> »), et qui effectuent des transactions sous la marque </w:t>
      </w:r>
      <w:r>
        <w:rPr>
          <w:rFonts w:ascii="Times New Roman" w:hAnsi="Times New Roman"/>
          <w:sz w:val="20"/>
          <w:szCs w:val="20"/>
        </w:rPr>
        <w:t>Fluke IG, Fluke Calibration ou Fluke Networks</w:t>
      </w:r>
      <w:r>
        <w:rPr>
          <w:rFonts w:ascii="Times New Roman" w:hAnsi="Times New Roman"/>
          <w:color w:val="000000" w:themeColor="text1"/>
          <w:sz w:val="20"/>
          <w:szCs w:val="20"/>
        </w:rPr>
        <w:t xml:space="preserve">, peuvent recevoir un produit </w:t>
      </w:r>
      <w:r>
        <w:rPr>
          <w:rFonts w:ascii="Times New Roman" w:hAnsi="Times New Roman"/>
          <w:sz w:val="20"/>
          <w:szCs w:val="20"/>
        </w:rPr>
        <w:t xml:space="preserve">Fluke de leur choix </w:t>
      </w:r>
      <w:r>
        <w:rPr>
          <w:rFonts w:ascii="Times New Roman" w:hAnsi="Times New Roman"/>
          <w:color w:val="000000" w:themeColor="text1"/>
          <w:sz w:val="20"/>
          <w:szCs w:val="20"/>
        </w:rPr>
        <w:t>(le « </w:t>
      </w:r>
      <w:r>
        <w:rPr>
          <w:rFonts w:ascii="Times New Roman" w:hAnsi="Times New Roman"/>
          <w:color w:val="000000" w:themeColor="text1"/>
          <w:sz w:val="20"/>
          <w:szCs w:val="20"/>
          <w:u w:val="single"/>
        </w:rPr>
        <w:t>Cadeau »</w:t>
      </w:r>
      <w:r>
        <w:rPr>
          <w:rFonts w:ascii="Times New Roman" w:hAnsi="Times New Roman"/>
          <w:color w:val="000000" w:themeColor="text1"/>
          <w:sz w:val="20"/>
          <w:szCs w:val="20"/>
        </w:rPr>
        <w:t xml:space="preserve">), correspondant au prix d’achat, comme indiqué dans le tableau ci-dessous, à l’achat de produits </w:t>
      </w:r>
      <w:r>
        <w:rPr>
          <w:rFonts w:ascii="Times New Roman" w:hAnsi="Times New Roman"/>
          <w:sz w:val="20"/>
          <w:szCs w:val="20"/>
        </w:rPr>
        <w:t>Fluke</w:t>
      </w:r>
      <w:r>
        <w:rPr>
          <w:rFonts w:ascii="Times New Roman" w:hAnsi="Times New Roman"/>
          <w:color w:val="000000" w:themeColor="text1"/>
          <w:sz w:val="20"/>
          <w:szCs w:val="20"/>
        </w:rPr>
        <w:t>.</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Aux de la présente Promotion, le terme Produits Fluke est défini et décrit plus en détail comme suit :</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 Produits Fluke »</w:t>
      </w:r>
      <w:r>
        <w:rPr>
          <w:rFonts w:ascii="Times New Roman" w:hAnsi="Times New Roman"/>
          <w:color w:val="000000" w:themeColor="text1"/>
          <w:sz w:val="20"/>
          <w:szCs w:val="20"/>
        </w:rPr>
        <w:t xml:space="preserve"> signifie : </w:t>
      </w:r>
    </w:p>
    <w:p w14:paraId="31D5C6FE" w14:textId="63978C0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comme indiqué sur le site </w:t>
      </w:r>
      <w:hyperlink r:id="rId10" w:history="1">
        <w:r w:rsidR="00B067E5" w:rsidRPr="00B067E5">
          <w:rPr>
            <w:rStyle w:val="Hyperlink"/>
            <w:rFonts w:ascii="Times New Roman" w:hAnsi="Times New Roman"/>
            <w:sz w:val="20"/>
            <w:szCs w:val="20"/>
          </w:rPr>
          <w:t>https://www.fluke.com/fr-fr/produits</w:t>
        </w:r>
      </w:hyperlink>
      <w:r w:rsidRPr="00B067E5">
        <w:rPr>
          <w:rFonts w:ascii="Times New Roman" w:hAnsi="Times New Roman"/>
          <w:color w:val="000000" w:themeColor="text1"/>
          <w:sz w:val="20"/>
          <w:szCs w:val="20"/>
        </w:rPr>
        <w:t>,</w:t>
      </w:r>
    </w:p>
    <w:p w14:paraId="4A69148F" w14:textId="64409181"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comme indiqué sur le site </w:t>
      </w:r>
      <w:hyperlink r:id="rId11" w:history="1">
        <w:r w:rsidR="00DD39CA" w:rsidRPr="00B810AC">
          <w:rPr>
            <w:rStyle w:val="Hyperlink"/>
            <w:rFonts w:ascii="Times New Roman" w:hAnsi="Times New Roman"/>
            <w:sz w:val="20"/>
            <w:szCs w:val="20"/>
          </w:rPr>
          <w:t>https://eu.flukecal</w:t>
        </w:r>
        <w:r w:rsidR="00DD39CA" w:rsidRPr="00B810AC">
          <w:rPr>
            <w:rStyle w:val="Hyperlink"/>
            <w:rFonts w:ascii="Times New Roman" w:hAnsi="Times New Roman"/>
            <w:sz w:val="20"/>
            <w:szCs w:val="20"/>
          </w:rPr>
          <w:t>.</w:t>
        </w:r>
        <w:r w:rsidR="00DD39CA" w:rsidRPr="00B810AC">
          <w:rPr>
            <w:rStyle w:val="Hyperlink"/>
            <w:rFonts w:ascii="Times New Roman" w:hAnsi="Times New Roman"/>
            <w:sz w:val="20"/>
            <w:szCs w:val="20"/>
          </w:rPr>
          <w:t>com/fr/products</w:t>
        </w:r>
      </w:hyperlink>
      <w:r>
        <w:rPr>
          <w:rFonts w:ascii="Times New Roman" w:hAnsi="Times New Roman"/>
          <w:color w:val="000000" w:themeColor="text1"/>
          <w:sz w:val="20"/>
          <w:szCs w:val="20"/>
        </w:rPr>
        <w:t>, à l’exception des Programmes d’assistance et des services Calibration,</w:t>
      </w:r>
    </w:p>
    <w:p w14:paraId="082D8183" w14:textId="62879619" w:rsidR="000A581A" w:rsidRPr="00B067E5" w:rsidRDefault="000A581A">
      <w:pPr>
        <w:pStyle w:val="ListParagraph"/>
        <w:spacing w:after="0" w:line="276" w:lineRule="auto"/>
        <w:ind w:left="567"/>
        <w:contextualSpacing w:val="0"/>
        <w:jc w:val="both"/>
        <w:rPr>
          <w:rFonts w:ascii="Times New Roman" w:hAnsi="Times New Roman" w:cs="Times New Roman"/>
          <w:color w:val="0070C0"/>
          <w:sz w:val="20"/>
          <w:szCs w:val="20"/>
        </w:rPr>
      </w:pPr>
      <w:r>
        <w:rPr>
          <w:rFonts w:ascii="Times New Roman" w:hAnsi="Times New Roman"/>
          <w:color w:val="000000" w:themeColor="text1"/>
          <w:sz w:val="20"/>
          <w:szCs w:val="20"/>
        </w:rPr>
        <w:t>-Fluke Networks, comme indiqué sur le sit</w:t>
      </w:r>
      <w:r w:rsidR="00B067E5">
        <w:rPr>
          <w:rFonts w:ascii="Times New Roman" w:hAnsi="Times New Roman"/>
          <w:color w:val="000000" w:themeColor="text1"/>
          <w:sz w:val="20"/>
          <w:szCs w:val="20"/>
        </w:rPr>
        <w:t xml:space="preserve">e </w:t>
      </w:r>
      <w:hyperlink r:id="rId12" w:history="1">
        <w:r w:rsidR="00B067E5" w:rsidRPr="002511A6">
          <w:rPr>
            <w:rStyle w:val="Hyperlink"/>
            <w:rFonts w:ascii="Times New Roman" w:hAnsi="Times New Roman"/>
            <w:sz w:val="20"/>
            <w:szCs w:val="20"/>
          </w:rPr>
          <w:t>www.flukenet</w:t>
        </w:r>
        <w:r w:rsidR="00B067E5" w:rsidRPr="002511A6">
          <w:rPr>
            <w:rStyle w:val="Hyperlink"/>
            <w:rFonts w:ascii="Times New Roman" w:hAnsi="Times New Roman"/>
            <w:sz w:val="20"/>
            <w:szCs w:val="20"/>
          </w:rPr>
          <w:t>w</w:t>
        </w:r>
        <w:r w:rsidR="00B067E5" w:rsidRPr="002511A6">
          <w:rPr>
            <w:rStyle w:val="Hyperlink"/>
            <w:rFonts w:ascii="Times New Roman" w:hAnsi="Times New Roman"/>
            <w:sz w:val="20"/>
            <w:szCs w:val="20"/>
          </w:rPr>
          <w:t>orks.fr</w:t>
        </w:r>
      </w:hyperlink>
      <w:r w:rsidR="00B067E5">
        <w:rPr>
          <w:rFonts w:ascii="Times New Roman" w:hAnsi="Times New Roman"/>
          <w:color w:val="000000" w:themeColor="text1"/>
          <w:sz w:val="20"/>
          <w:szCs w:val="20"/>
        </w:rPr>
        <w:t xml:space="preserve"> </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Plus précisément, cela exclut tous les autres produits Fluke comprenant, mais sans s’y limiter, Fluke Biomedical, Beha-Amprobe, Pomona, Comark, eMaint software et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Éligibilité et Période de la promotion </w:t>
      </w:r>
      <w:r>
        <w:rPr>
          <w:rFonts w:ascii="Times New Roman" w:hAnsi="Times New Roman"/>
          <w:color w:val="000000" w:themeColor="text1"/>
          <w:sz w:val="20"/>
          <w:szCs w:val="20"/>
        </w:rPr>
        <w:t>:</w:t>
      </w:r>
      <w:bookmarkStart w:id="1" w:name="_GoBack"/>
      <w:bookmarkEnd w:id="1"/>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6A65D00"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Aux fins de la présente Promotion, le client doit résider en France. </w:t>
      </w:r>
      <w:r>
        <w:rPr>
          <w:rFonts w:ascii="Times New Roman" w:hAnsi="Times New Roman"/>
          <w:sz w:val="20"/>
          <w:szCs w:val="20"/>
        </w:rPr>
        <w:t>Pour être éligible à la présente Promotion, le client doit acheter un ou plusieurs Produits Fluke pour un minimum de 100 EUR (cent euros) pendant la Période de la promotion, qui débute à minuit (CET) le 1er septembre 2020 et se termine à 23 h59 (CET) le 15 décembre 2020 (la « </w:t>
      </w:r>
      <w:r>
        <w:rPr>
          <w:rFonts w:ascii="Times New Roman" w:hAnsi="Times New Roman"/>
          <w:sz w:val="20"/>
          <w:szCs w:val="20"/>
          <w:u w:val="single"/>
        </w:rPr>
        <w:t>Période de la promotion</w:t>
      </w:r>
      <w:r>
        <w:rPr>
          <w:rFonts w:ascii="Times New Roman" w:hAnsi="Times New Roman"/>
          <w:sz w:val="20"/>
          <w:szCs w:val="20"/>
        </w:rPr>
        <w:t xml:space="preserve"> »).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facture/le ticket de caisse du client doit comporter la date d’achat qui doit tomber dans la Période de la promotion. L´ordinateur du Commanditaire constituera l´horloge officielle de la présente Promotion. La Promotion n’est valable que pour un ou </w:t>
      </w:r>
      <w:proofErr w:type="gramStart"/>
      <w:r>
        <w:rPr>
          <w:rFonts w:ascii="Times New Roman" w:hAnsi="Times New Roman"/>
          <w:color w:val="000000" w:themeColor="text1"/>
          <w:sz w:val="20"/>
          <w:szCs w:val="20"/>
        </w:rPr>
        <w:t>plusieurs achats effectué</w:t>
      </w:r>
      <w:proofErr w:type="gramEnd"/>
      <w:r>
        <w:rPr>
          <w:rFonts w:ascii="Times New Roman" w:hAnsi="Times New Roman"/>
          <w:color w:val="000000" w:themeColor="text1"/>
          <w:sz w:val="20"/>
          <w:szCs w:val="20"/>
        </w:rPr>
        <w:t xml:space="preserve"> au cours de la Période de la promotion.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67F5E0C5"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éligibles peuvent demander un (1) Cadeau de leur choix, correspondant au prix payé par le client au moment de l’achat des Produits Fluke et pendant la Période de la promotion, et selon les options indiquées ci-dessous. Si les preuves d’achat comportent d’autres produits, en plus des Produits Fluke, seul le montant correspondant aux Produits Fluke de ladite preuve d’achat seront pris en compte pour l’évaluation de la catégorie du Cadeau, comme indiqué sur le site </w:t>
      </w:r>
      <w:hyperlink r:id="rId13" w:history="1">
        <w:r w:rsidR="00B067E5" w:rsidRPr="00B067E5">
          <w:rPr>
            <w:rStyle w:val="Hyperlink"/>
            <w:rFonts w:ascii="Times New Roman" w:hAnsi="Times New Roman"/>
            <w:sz w:val="20"/>
            <w:szCs w:val="20"/>
          </w:rPr>
          <w:t>www.fluke.fr/freefluke</w:t>
        </w:r>
      </w:hyperlink>
      <w:r w:rsidRPr="00B067E5">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Instructions pour participer à la Promotion </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Pour pouvoir recevoir le Cadeau, les clients éligibles doivent suivre la procédure énoncée ci-dessous :</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4A96CA3A"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Les clients doivent formuler une demande via le formulaire d’enregistrement en ligne de la Promotion sur le site</w:t>
      </w:r>
      <w:r w:rsidR="00B067E5">
        <w:rPr>
          <w:rFonts w:ascii="Times New Roman" w:hAnsi="Times New Roman"/>
          <w:color w:val="000000" w:themeColor="text1"/>
          <w:sz w:val="20"/>
          <w:szCs w:val="20"/>
        </w:rPr>
        <w:t xml:space="preserve"> </w:t>
      </w:r>
      <w:hyperlink r:id="rId14" w:history="1">
        <w:r w:rsidR="00B067E5" w:rsidRPr="002511A6">
          <w:rPr>
            <w:rStyle w:val="Hyperlink"/>
            <w:rFonts w:ascii="Times New Roman" w:hAnsi="Times New Roman"/>
            <w:sz w:val="20"/>
            <w:szCs w:val="20"/>
          </w:rPr>
          <w:t>www.fluke.fr/freefluke</w:t>
        </w:r>
      </w:hyperlink>
      <w:r w:rsidR="00B067E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w:t>
      </w:r>
      <w:r w:rsidR="00B067E5" w:rsidRPr="00B067E5">
        <w:rPr>
          <w:rFonts w:ascii="Times New Roman" w:hAnsi="Times New Roman"/>
          <w:color w:val="0070C0"/>
          <w:sz w:val="20"/>
          <w:szCs w:val="20"/>
        </w:rPr>
        <w:t>en France</w:t>
      </w:r>
      <w:r w:rsidRPr="00B067E5">
        <w:rPr>
          <w:rFonts w:ascii="Times New Roman" w:hAnsi="Times New Roman"/>
          <w:color w:val="0070C0"/>
          <w:sz w:val="20"/>
          <w:szCs w:val="20"/>
        </w:rPr>
        <w:t xml:space="preserve"> </w:t>
      </w:r>
      <w:r>
        <w:rPr>
          <w:rFonts w:ascii="Times New Roman" w:hAnsi="Times New Roman"/>
          <w:color w:val="000000" w:themeColor="text1"/>
          <w:sz w:val="20"/>
          <w:szCs w:val="20"/>
        </w:rPr>
        <w:t xml:space="preserve">du client sera requise pour l’obtention du Cadeau.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devront sélectionner le Cadeau de leur choix dans le formulaire d’enregistrement en ligne, en fonction du montant correspondant à leur facture.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 peuvent enregistrer qu’une (1) demande par facture. Les factures ne peuvent pas être regroupées et ne peuvent être utilisées qu’une fois.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Le Commanditaire acceptera les demandes valides jusqu’au 15 janvier 2021</w:t>
      </w:r>
      <w:r>
        <w:rPr>
          <w:rFonts w:ascii="Times New Roman" w:hAnsi="Times New Roman"/>
          <w:color w:val="000000" w:themeColor="text1"/>
          <w:sz w:val="20"/>
          <w:szCs w:val="20"/>
        </w:rPr>
        <w:t xml:space="preserve"> (la « </w:t>
      </w:r>
      <w:r>
        <w:rPr>
          <w:rFonts w:ascii="Times New Roman" w:hAnsi="Times New Roman"/>
          <w:color w:val="000000" w:themeColor="text1"/>
          <w:sz w:val="20"/>
          <w:szCs w:val="20"/>
          <w:u w:val="single"/>
        </w:rPr>
        <w:t>Date limite des demandes</w:t>
      </w:r>
      <w:r>
        <w:rPr>
          <w:rFonts w:ascii="Times New Roman" w:hAnsi="Times New Roman"/>
          <w:color w:val="000000" w:themeColor="text1"/>
          <w:sz w:val="20"/>
          <w:szCs w:val="20"/>
        </w:rPr>
        <w:t> »). Les demandes enregistrées après cette date seront considérées comme non valides et rejetées.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 Commanditaire devra vérifier les copies des factures envoyées, les options de Cadeau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Dans les 30 jours qui suivent la Date limite des demandes, le Commanditaire ou ses représentants devront envoyer le Cadeau à l’adresse indiquée par le client.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En cas de non-réception du Cadeau, le client devra en informer le Commanditaire au plus vite avant le 28 février 2021.</w:t>
      </w:r>
      <w:r>
        <w:rPr>
          <w:rFonts w:ascii="Times New Roman" w:hAnsi="Times New Roman"/>
          <w:color w:val="000000" w:themeColor="text1"/>
          <w:sz w:val="20"/>
          <w:szCs w:val="20"/>
        </w:rPr>
        <w:t xml:space="preserve"> Les plaintes pour non-réception après cette date seront résolues à la seule discrétion du Commanditaire.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Autres restrictions applicables à la Promotion</w:t>
      </w:r>
      <w:r>
        <w:rPr>
          <w:rFonts w:ascii="Times New Roman" w:hAnsi="Times New Roman"/>
          <w:color w:val="000000" w:themeColor="text1"/>
          <w:sz w:val="20"/>
          <w:szCs w:val="20"/>
        </w:rPr>
        <w:t> :</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Les employés,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prétendre à l´obtention d´un prix. De plus, aucun employé, dirigeant, cadre, représentant ou agent des distributeurs ou des fabricants concurrents n’est éligible pour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Décharge de responsabilité</w:t>
      </w:r>
      <w:r>
        <w:rPr>
          <w:rFonts w:ascii="Times New Roman" w:hAnsi="Times New Roman"/>
          <w:color w:val="000000" w:themeColor="text1"/>
          <w:sz w:val="20"/>
          <w:szCs w:val="20"/>
        </w:rPr>
        <w:t> :</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Commanditaire, ses sociétés mères, filiales, cadres, dirigeants, consultants, distributeurs, représentants, employés et agents (collectivement dénommés « Partie déchargée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Dégagement de responsabilité et indemnisation </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w:t>
      </w:r>
      <w:r>
        <w:rPr>
          <w:rFonts w:ascii="Times New Roman" w:hAnsi="Times New Roman"/>
          <w:color w:val="000000" w:themeColor="text1"/>
          <w:sz w:val="20"/>
          <w:szCs w:val="20"/>
        </w:rPr>
        <w:t> :</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15472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La Promotion et les présentes Conditions générale sont régies et seront interprétées conformément au droit de </w:t>
      </w:r>
      <w:r w:rsidRPr="00B067E5">
        <w:rPr>
          <w:rFonts w:ascii="Times New Roman" w:hAnsi="Times New Roman"/>
          <w:color w:val="0070C0"/>
          <w:sz w:val="20"/>
          <w:szCs w:val="20"/>
        </w:rPr>
        <w:t>la France</w:t>
      </w:r>
      <w:r>
        <w:rPr>
          <w:rFonts w:ascii="Times New Roman" w:hAnsi="Times New Roman"/>
          <w:sz w:val="20"/>
          <w:szCs w:val="20"/>
        </w:rPr>
        <w:t xml:space="preserve">, sans appliquer aucune provision relative aux conflits ou au choix de la législation susceptible de </w:t>
      </w:r>
      <w:r>
        <w:rPr>
          <w:rFonts w:ascii="Times New Roman" w:hAnsi="Times New Roman"/>
          <w:sz w:val="20"/>
          <w:szCs w:val="20"/>
        </w:rPr>
        <w:lastRenderedPageBreak/>
        <w:t>soumettre l´interprétation des termes de la présente à la loi d´une autre juridiction.</w:t>
      </w:r>
      <w:r>
        <w:rPr>
          <w:rFonts w:ascii="Times New Roman" w:hAnsi="Times New Roman"/>
          <w:color w:val="000000" w:themeColor="text1"/>
          <w:sz w:val="20"/>
          <w:szCs w:val="20"/>
        </w:rPr>
        <w:t xml:space="preserve"> </w:t>
      </w:r>
      <w:r>
        <w:rPr>
          <w:rFonts w:ascii="Times New Roman" w:hAnsi="Times New Roman"/>
          <w:sz w:val="20"/>
          <w:szCs w:val="20"/>
        </w:rPr>
        <w:t xml:space="preserve">Toute </w:t>
      </w:r>
      <w:r>
        <w:rPr>
          <w:rFonts w:ascii="Times New Roman" w:hAnsi="Times New Roman"/>
          <w:color w:val="000000" w:themeColor="text1"/>
          <w:sz w:val="20"/>
          <w:szCs w:val="20"/>
        </w:rPr>
        <w:t>action à l´encontre de la Promotion et des présentes Conditions générales pourra exclusivement être engagée auprès des tribunaux fédéraux</w:t>
      </w:r>
      <w:r>
        <w:rPr>
          <w:rFonts w:ascii="Times New Roman" w:hAnsi="Times New Roman"/>
          <w:sz w:val="20"/>
          <w:szCs w:val="20"/>
        </w:rPr>
        <w:t xml:space="preserve"> ou d´Etat situés </w:t>
      </w:r>
      <w:r w:rsidRPr="00B067E5">
        <w:rPr>
          <w:rFonts w:ascii="Times New Roman" w:hAnsi="Times New Roman"/>
          <w:color w:val="0070C0"/>
          <w:sz w:val="20"/>
          <w:szCs w:val="20"/>
        </w:rPr>
        <w:t>en France</w:t>
      </w:r>
      <w:r>
        <w:rPr>
          <w:rFonts w:ascii="Times New Roman" w:hAnsi="Times New Roman"/>
          <w:color w:val="000000" w:themeColor="text1"/>
          <w:sz w:val="20"/>
          <w:szCs w:val="20"/>
        </w:rPr>
        <w:t xml:space="preserve">,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 client se soumet aux présentes Conditions générales et aux décisions du Sponsor, qui sont réputées définitives et contraignantes à tous les égards. Dans les limites autorisées par la loi, le Commanditaire se réserve le droit de modifier les présentes Conditions générales à tout moment, à sa seule et absolue discrétion, et de 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Sponsor, ou de l´incapacité pour le client ou le Sponsor à faire valoir ses droits aux termes des présentes en une ou plusieurs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L´utilisation que fait le Sponsor des informations personnelles fournies par le client est soumise à la politique de confidentialité du Sponsor (disponible à l´adresse suivante : </w:t>
      </w:r>
      <w:hyperlink r:id="rId15" w:history="1">
        <w:r>
          <w:rPr>
            <w:rStyle w:val="Hyperlink"/>
            <w:rFonts w:ascii="Times New Roman" w:hAnsi="Times New Roman"/>
            <w:sz w:val="20"/>
            <w:szCs w:val="20"/>
          </w:rPr>
          <w:t>http://www.fluke.com/fluke/cafr/home/politique-de-confidentialite.htm</w:t>
        </w:r>
      </w:hyperlink>
      <w:r>
        <w:rPr>
          <w:rFonts w:ascii="Times New Roman" w:hAnsi="Times New Roman"/>
          <w:color w:val="000000" w:themeColor="text1"/>
          <w:sz w:val="20"/>
          <w:szCs w:val="20"/>
        </w:rPr>
        <w:t>). Si vous avez des questions concernant les présentes Conditions générales ou la Promotion, veuillez les envoyer par e-mail à privacypolicy@fluke.com ou par courrier à l’adresse fournie ci-dessous.</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Coordonnées du Commanditaire</w:t>
      </w:r>
      <w:r>
        <w:rPr>
          <w:rFonts w:ascii="Times New Roman" w:hAnsi="Times New Roman"/>
          <w:color w:val="000000" w:themeColor="text1"/>
          <w:sz w:val="20"/>
          <w:szCs w:val="20"/>
        </w:rPr>
        <w:t> :</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Pays-Bas.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 de droits d’auteur et de marque commerciale</w:t>
      </w:r>
      <w:r>
        <w:rPr>
          <w:rFonts w:ascii="Times New Roman" w:hAnsi="Times New Roman"/>
          <w:color w:val="000000" w:themeColor="text1"/>
          <w:sz w:val="20"/>
          <w:szCs w:val="20"/>
        </w:rPr>
        <w:t> :</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Promotion et tout le matériel qui l´accompagne sont protégés par les droits d´auteur : Copyright © 2019 Fluke Corporation. Tous droits réservés. FLUKE est une marque déposée 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B20A4"/>
    <w:rsid w:val="001D7298"/>
    <w:rsid w:val="00222EF2"/>
    <w:rsid w:val="00254C43"/>
    <w:rsid w:val="003357AD"/>
    <w:rsid w:val="00356F65"/>
    <w:rsid w:val="00392224"/>
    <w:rsid w:val="003F3EB2"/>
    <w:rsid w:val="003F4D4C"/>
    <w:rsid w:val="0053632C"/>
    <w:rsid w:val="005F0C96"/>
    <w:rsid w:val="0064322A"/>
    <w:rsid w:val="006540D4"/>
    <w:rsid w:val="006C43A2"/>
    <w:rsid w:val="006D7AA2"/>
    <w:rsid w:val="008212F0"/>
    <w:rsid w:val="00885151"/>
    <w:rsid w:val="00894024"/>
    <w:rsid w:val="008C591C"/>
    <w:rsid w:val="009C355E"/>
    <w:rsid w:val="00B067E5"/>
    <w:rsid w:val="00CC14DE"/>
    <w:rsid w:val="00DB0A35"/>
    <w:rsid w:val="00DD39CA"/>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fr/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fr/products" TargetMode="External"/><Relationship Id="rId5" Type="http://schemas.openxmlformats.org/officeDocument/2006/relationships/numbering" Target="numbering.xml"/><Relationship Id="rId15" Type="http://schemas.openxmlformats.org/officeDocument/2006/relationships/hyperlink" Target="http://www.fluke.com/fluke/cafr/home/politique-de-confidentialite.htm" TargetMode="External"/><Relationship Id="rId10" Type="http://schemas.openxmlformats.org/officeDocument/2006/relationships/hyperlink" Target="https://www.fluke.com/fr-fr/produits" TargetMode="External"/><Relationship Id="rId4" Type="http://schemas.openxmlformats.org/officeDocument/2006/relationships/customXml" Target="../customXml/item4.xml"/><Relationship Id="rId9" Type="http://schemas.openxmlformats.org/officeDocument/2006/relationships/hyperlink" Target="http://www.fluke.fr/freefluke" TargetMode="External"/><Relationship Id="rId14" Type="http://schemas.openxmlformats.org/officeDocument/2006/relationships/hyperlink" Target="http://www.fluke.fr/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ab3f8dec-6d84-4af5-8278-d6d5fb356a39"/>
    <ds:schemaRef ds:uri="http://schemas.microsoft.com/office/2006/documentManagement/types"/>
    <ds:schemaRef ds:uri="f3865706-924e-43cc-aa61-0c0b382b587e"/>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07132-928A-453B-A98A-A0C63E02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2020-07-01T09:45:00Z</dcterms:created>
  <dcterms:modified xsi:type="dcterms:W3CDTF">2020-07-01T12:35:00Z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